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C624" w14:textId="77777777" w:rsidR="00F92C68" w:rsidRPr="001B04CD" w:rsidRDefault="00F92C68" w:rsidP="00F92C68">
      <w:pPr>
        <w:spacing w:after="120"/>
        <w:jc w:val="both"/>
        <w:rPr>
          <w:rFonts w:ascii="Times New Roman" w:hAnsi="Times New Roman" w:cs="Times New Roman"/>
          <w:b/>
          <w:sz w:val="24"/>
          <w:szCs w:val="24"/>
        </w:rPr>
      </w:pPr>
      <w:r w:rsidRPr="001B04CD">
        <w:rPr>
          <w:rFonts w:ascii="Times New Roman" w:hAnsi="Times New Roman" w:cs="Times New Roman"/>
          <w:b/>
          <w:sz w:val="24"/>
          <w:szCs w:val="24"/>
        </w:rPr>
        <w:t>OBRAZAC broj 2 – IZVJEŠTAJ O SVEOBUHVATNOJ PROCJENI UTICAJA PROPISA</w:t>
      </w:r>
    </w:p>
    <w:p w14:paraId="2D7755AE" w14:textId="77777777" w:rsidR="000A4C76" w:rsidRPr="001B04CD" w:rsidRDefault="000A4C76" w:rsidP="005942C6">
      <w:pPr>
        <w:spacing w:after="0" w:line="240" w:lineRule="auto"/>
        <w:jc w:val="both"/>
        <w:rPr>
          <w:rFonts w:ascii="Times New Roman" w:eastAsia="Times New Roman" w:hAnsi="Times New Roman"/>
          <w:b/>
          <w:sz w:val="24"/>
          <w:szCs w:val="24"/>
        </w:rPr>
      </w:pPr>
      <w:r w:rsidRPr="001B04CD">
        <w:rPr>
          <w:rFonts w:ascii="Times New Roman" w:eastAsia="Times New Roman" w:hAnsi="Times New Roman" w:cs="Times New Roman"/>
          <w:b/>
          <w:bCs/>
          <w:sz w:val="24"/>
          <w:szCs w:val="24"/>
        </w:rPr>
        <w:t>Agencija za javne nabave BiH</w:t>
      </w:r>
      <w:r w:rsidRPr="001B04CD">
        <w:rPr>
          <w:rFonts w:ascii="Times New Roman" w:eastAsia="Times New Roman" w:hAnsi="Times New Roman"/>
          <w:b/>
          <w:sz w:val="24"/>
          <w:szCs w:val="24"/>
        </w:rPr>
        <w:t xml:space="preserve"> </w:t>
      </w:r>
    </w:p>
    <w:p w14:paraId="561EBEB0" w14:textId="77777777" w:rsidR="005942C6" w:rsidRPr="001B04CD" w:rsidRDefault="00F92C68" w:rsidP="005942C6">
      <w:pPr>
        <w:spacing w:after="0" w:line="240" w:lineRule="auto"/>
        <w:jc w:val="both"/>
        <w:rPr>
          <w:rFonts w:ascii="Times New Roman" w:hAnsi="Times New Roman" w:cs="Times New Roman"/>
          <w:b/>
          <w:sz w:val="24"/>
          <w:szCs w:val="24"/>
        </w:rPr>
      </w:pPr>
      <w:r w:rsidRPr="001B04CD">
        <w:rPr>
          <w:rFonts w:ascii="Times New Roman" w:eastAsia="Times New Roman" w:hAnsi="Times New Roman"/>
          <w:b/>
          <w:sz w:val="24"/>
          <w:szCs w:val="24"/>
        </w:rPr>
        <w:t xml:space="preserve">Broj: </w:t>
      </w:r>
      <w:r w:rsidR="005942C6" w:rsidRPr="001B04CD">
        <w:rPr>
          <w:rFonts w:ascii="Times New Roman" w:hAnsi="Times New Roman" w:cs="Times New Roman"/>
          <w:b/>
          <w:sz w:val="24"/>
          <w:szCs w:val="24"/>
        </w:rPr>
        <w:t>01-02-1-___-___/25</w:t>
      </w:r>
    </w:p>
    <w:p w14:paraId="748654E7" w14:textId="61DB6AD1" w:rsidR="00F92C68" w:rsidRPr="001B04CD" w:rsidRDefault="00F92C68" w:rsidP="005942C6">
      <w:pPr>
        <w:spacing w:after="0" w:line="240" w:lineRule="auto"/>
        <w:jc w:val="both"/>
        <w:rPr>
          <w:rFonts w:ascii="Times New Roman" w:eastAsia="Times New Roman" w:hAnsi="Times New Roman"/>
          <w:b/>
          <w:sz w:val="24"/>
          <w:szCs w:val="24"/>
        </w:rPr>
      </w:pPr>
      <w:r w:rsidRPr="001B04CD">
        <w:rPr>
          <w:rFonts w:ascii="Times New Roman" w:eastAsia="Times New Roman" w:hAnsi="Times New Roman"/>
          <w:b/>
          <w:sz w:val="24"/>
          <w:szCs w:val="24"/>
        </w:rPr>
        <w:t xml:space="preserve">Sarajevo, </w:t>
      </w:r>
      <w:r w:rsidR="005942C6" w:rsidRPr="001B04CD">
        <w:rPr>
          <w:rFonts w:ascii="Times New Roman" w:eastAsia="Times New Roman" w:hAnsi="Times New Roman"/>
          <w:b/>
          <w:sz w:val="24"/>
          <w:szCs w:val="24"/>
        </w:rPr>
        <w:t>___</w:t>
      </w:r>
      <w:r w:rsidR="00E8290B" w:rsidRPr="001B04CD">
        <w:rPr>
          <w:rFonts w:ascii="Times New Roman" w:eastAsia="Times New Roman" w:hAnsi="Times New Roman"/>
          <w:b/>
          <w:sz w:val="24"/>
          <w:szCs w:val="24"/>
        </w:rPr>
        <w:t>10</w:t>
      </w:r>
      <w:r w:rsidR="005942C6" w:rsidRPr="001B04CD">
        <w:rPr>
          <w:rFonts w:ascii="Times New Roman" w:eastAsia="Times New Roman" w:hAnsi="Times New Roman"/>
          <w:b/>
          <w:sz w:val="24"/>
          <w:szCs w:val="24"/>
        </w:rPr>
        <w:t>.2025.</w:t>
      </w:r>
      <w:r w:rsidRPr="001B04CD">
        <w:rPr>
          <w:rFonts w:ascii="Times New Roman" w:eastAsia="Times New Roman" w:hAnsi="Times New Roman"/>
          <w:b/>
          <w:sz w:val="24"/>
          <w:szCs w:val="24"/>
        </w:rPr>
        <w:t xml:space="preserve"> godine</w:t>
      </w:r>
    </w:p>
    <w:p w14:paraId="6074227E" w14:textId="77777777" w:rsidR="00F92C68" w:rsidRPr="001B04CD" w:rsidRDefault="00F92C68" w:rsidP="00F92C68">
      <w:pPr>
        <w:spacing w:after="120" w:line="240" w:lineRule="auto"/>
        <w:jc w:val="both"/>
        <w:rPr>
          <w:rFonts w:ascii="Times New Roman" w:eastAsia="Times New Roman" w:hAnsi="Times New Roman"/>
          <w:sz w:val="24"/>
          <w:szCs w:val="24"/>
        </w:rPr>
      </w:pP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47"/>
        <w:gridCol w:w="3705"/>
      </w:tblGrid>
      <w:tr w:rsidR="00F92C68" w:rsidRPr="001B04CD" w14:paraId="05B54BAC" w14:textId="77777777" w:rsidTr="00EF61B4">
        <w:tc>
          <w:tcPr>
            <w:tcW w:w="0" w:type="auto"/>
            <w:gridSpan w:val="2"/>
            <w:tcBorders>
              <w:top w:val="single" w:sz="8" w:space="0" w:color="4F81BD"/>
              <w:left w:val="single" w:sz="8" w:space="0" w:color="4F81BD"/>
              <w:bottom w:val="nil"/>
              <w:right w:val="single" w:sz="8" w:space="0" w:color="4F81BD"/>
            </w:tcBorders>
            <w:shd w:val="clear" w:color="auto" w:fill="4F81BD"/>
            <w:vAlign w:val="center"/>
            <w:hideMark/>
          </w:tcPr>
          <w:p w14:paraId="625C3049" w14:textId="77777777" w:rsidR="00F92C68" w:rsidRPr="001B04CD" w:rsidRDefault="00F92C68" w:rsidP="00EF61B4">
            <w:pPr>
              <w:spacing w:after="0" w:line="240" w:lineRule="auto"/>
              <w:jc w:val="center"/>
              <w:rPr>
                <w:rFonts w:ascii="Times New Roman" w:eastAsia="Times New Roman" w:hAnsi="Times New Roman" w:cs="Times New Roman"/>
                <w:b/>
                <w:bCs/>
                <w:color w:val="FFFFFF" w:themeColor="background1"/>
                <w:sz w:val="24"/>
                <w:szCs w:val="24"/>
              </w:rPr>
            </w:pPr>
            <w:r w:rsidRPr="001B04CD">
              <w:rPr>
                <w:rFonts w:ascii="Times New Roman" w:eastAsia="Times New Roman" w:hAnsi="Times New Roman" w:cs="Times New Roman"/>
                <w:b/>
                <w:bCs/>
                <w:color w:val="FFFFFF" w:themeColor="background1"/>
                <w:sz w:val="24"/>
                <w:szCs w:val="24"/>
              </w:rPr>
              <w:t>IZVJEŠTAJ O SVEOBUHVATNOJ PROCJENI UTICAJA PROPISA</w:t>
            </w:r>
          </w:p>
        </w:tc>
      </w:tr>
      <w:tr w:rsidR="00F92C68" w:rsidRPr="001B04CD" w14:paraId="19BF28AC" w14:textId="77777777" w:rsidTr="003031BE">
        <w:trPr>
          <w:trHeight w:val="268"/>
        </w:trPr>
        <w:tc>
          <w:tcPr>
            <w:tcW w:w="5448" w:type="dxa"/>
            <w:tcBorders>
              <w:top w:val="single" w:sz="8" w:space="0" w:color="4F81BD"/>
              <w:left w:val="single" w:sz="8" w:space="0" w:color="4F81BD"/>
              <w:bottom w:val="single" w:sz="8" w:space="0" w:color="4F81BD"/>
              <w:right w:val="single" w:sz="8" w:space="0" w:color="4F81BD"/>
            </w:tcBorders>
            <w:hideMark/>
          </w:tcPr>
          <w:p w14:paraId="1724AF39" w14:textId="77777777" w:rsidR="00F92C68" w:rsidRPr="001B04CD" w:rsidRDefault="00F92C68" w:rsidP="00EF61B4">
            <w:pPr>
              <w:spacing w:after="0" w:line="240" w:lineRule="auto"/>
              <w:rPr>
                <w:rFonts w:ascii="Times New Roman" w:eastAsia="Times New Roman" w:hAnsi="Times New Roman" w:cs="Times New Roman"/>
                <w:bCs/>
                <w:sz w:val="24"/>
                <w:szCs w:val="24"/>
              </w:rPr>
            </w:pPr>
            <w:r w:rsidRPr="001B04CD">
              <w:rPr>
                <w:rFonts w:ascii="Times New Roman" w:hAnsi="Times New Roman" w:cs="Times New Roman"/>
                <w:b/>
                <w:bCs/>
                <w:sz w:val="24"/>
                <w:szCs w:val="24"/>
              </w:rPr>
              <w:t>NOSILAC NORMATIVNOG POSLA</w:t>
            </w:r>
          </w:p>
        </w:tc>
        <w:tc>
          <w:tcPr>
            <w:tcW w:w="3840" w:type="dxa"/>
            <w:tcBorders>
              <w:top w:val="single" w:sz="8" w:space="0" w:color="4F81BD"/>
              <w:left w:val="single" w:sz="8" w:space="0" w:color="4F81BD"/>
              <w:bottom w:val="single" w:sz="8" w:space="0" w:color="4F81BD"/>
              <w:right w:val="single" w:sz="8" w:space="0" w:color="4F81BD"/>
            </w:tcBorders>
          </w:tcPr>
          <w:p w14:paraId="7562D7D9" w14:textId="77777777" w:rsidR="00FF77A1" w:rsidRPr="001B04CD" w:rsidRDefault="00FF77A1" w:rsidP="00FF77A1">
            <w:pPr>
              <w:spacing w:after="0" w:line="240" w:lineRule="auto"/>
              <w:jc w:val="both"/>
              <w:rPr>
                <w:rFonts w:ascii="Times New Roman" w:eastAsia="Times New Roman" w:hAnsi="Times New Roman" w:cs="Times New Roman"/>
                <w:bCs/>
                <w:sz w:val="24"/>
                <w:szCs w:val="24"/>
              </w:rPr>
            </w:pPr>
            <w:r w:rsidRPr="001B04CD">
              <w:rPr>
                <w:rFonts w:ascii="Times New Roman" w:eastAsia="Times New Roman" w:hAnsi="Times New Roman" w:cs="Times New Roman"/>
                <w:bCs/>
                <w:sz w:val="24"/>
                <w:szCs w:val="24"/>
              </w:rPr>
              <w:t xml:space="preserve">Agencija za javne nabave BiH- </w:t>
            </w:r>
          </w:p>
          <w:p w14:paraId="6BFF9E3C" w14:textId="77777777" w:rsidR="00F92C68" w:rsidRPr="001B04CD" w:rsidRDefault="00FF77A1" w:rsidP="00FF77A1">
            <w:pPr>
              <w:spacing w:after="0" w:line="240" w:lineRule="auto"/>
              <w:rPr>
                <w:rFonts w:ascii="Times New Roman" w:eastAsia="Times New Roman" w:hAnsi="Times New Roman" w:cs="Times New Roman"/>
                <w:bCs/>
                <w:sz w:val="24"/>
                <w:szCs w:val="24"/>
              </w:rPr>
            </w:pPr>
            <w:r w:rsidRPr="001B04CD">
              <w:rPr>
                <w:rFonts w:ascii="Times New Roman" w:eastAsia="Times New Roman" w:hAnsi="Times New Roman" w:cs="Times New Roman"/>
                <w:bCs/>
                <w:sz w:val="24"/>
                <w:szCs w:val="24"/>
              </w:rPr>
              <w:t>Kontakt osoba:</w:t>
            </w:r>
            <w:r w:rsidR="000A4C76" w:rsidRPr="001B04CD">
              <w:rPr>
                <w:rFonts w:ascii="Times New Roman" w:eastAsia="Times New Roman" w:hAnsi="Times New Roman" w:cs="Times New Roman"/>
                <w:bCs/>
                <w:sz w:val="24"/>
                <w:szCs w:val="24"/>
              </w:rPr>
              <w:t xml:space="preserve"> __________</w:t>
            </w:r>
          </w:p>
          <w:p w14:paraId="48664E1F" w14:textId="77777777" w:rsidR="00FF77A1" w:rsidRPr="001B04CD" w:rsidRDefault="00FF77A1" w:rsidP="00EF61B4">
            <w:pPr>
              <w:spacing w:after="0" w:line="240" w:lineRule="auto"/>
              <w:rPr>
                <w:rFonts w:ascii="Times New Roman" w:eastAsia="Times New Roman" w:hAnsi="Times New Roman" w:cs="Times New Roman"/>
                <w:bCs/>
                <w:sz w:val="24"/>
                <w:szCs w:val="24"/>
              </w:rPr>
            </w:pPr>
          </w:p>
          <w:p w14:paraId="17CFCB83" w14:textId="77777777" w:rsidR="00FF77A1" w:rsidRPr="001B04CD" w:rsidRDefault="00FF77A1" w:rsidP="00EF61B4">
            <w:pPr>
              <w:spacing w:after="0" w:line="240" w:lineRule="auto"/>
              <w:rPr>
                <w:rFonts w:ascii="Times New Roman" w:eastAsia="Times New Roman" w:hAnsi="Times New Roman" w:cs="Times New Roman"/>
                <w:bCs/>
                <w:sz w:val="24"/>
                <w:szCs w:val="24"/>
              </w:rPr>
            </w:pPr>
          </w:p>
        </w:tc>
      </w:tr>
      <w:tr w:rsidR="00F92C68" w:rsidRPr="001B04CD" w14:paraId="0A1BCB51" w14:textId="77777777" w:rsidTr="003031BE">
        <w:trPr>
          <w:trHeight w:val="268"/>
        </w:trPr>
        <w:tc>
          <w:tcPr>
            <w:tcW w:w="5448" w:type="dxa"/>
            <w:tcBorders>
              <w:top w:val="single" w:sz="8" w:space="0" w:color="4F81BD"/>
              <w:left w:val="single" w:sz="8" w:space="0" w:color="4F81BD"/>
              <w:bottom w:val="single" w:sz="8" w:space="0" w:color="4F81BD"/>
              <w:right w:val="single" w:sz="8" w:space="0" w:color="4F81BD"/>
            </w:tcBorders>
          </w:tcPr>
          <w:p w14:paraId="55881E48" w14:textId="77777777" w:rsidR="00F92C68" w:rsidRPr="001B04CD" w:rsidRDefault="00F92C68" w:rsidP="00EF61B4">
            <w:pPr>
              <w:spacing w:after="0" w:line="240" w:lineRule="auto"/>
              <w:rPr>
                <w:rFonts w:ascii="Times New Roman" w:hAnsi="Times New Roman" w:cs="Times New Roman"/>
                <w:b/>
                <w:bCs/>
                <w:color w:val="002060"/>
                <w:sz w:val="24"/>
                <w:szCs w:val="24"/>
              </w:rPr>
            </w:pPr>
            <w:r w:rsidRPr="001B04CD">
              <w:rPr>
                <w:rFonts w:ascii="Times New Roman" w:hAnsi="Times New Roman" w:cs="Times New Roman"/>
                <w:b/>
                <w:bCs/>
                <w:color w:val="002060"/>
                <w:sz w:val="24"/>
                <w:szCs w:val="24"/>
              </w:rPr>
              <w:t>VRSTA PROPISA</w:t>
            </w:r>
          </w:p>
        </w:tc>
        <w:tc>
          <w:tcPr>
            <w:tcW w:w="3840" w:type="dxa"/>
            <w:tcBorders>
              <w:top w:val="single" w:sz="8" w:space="0" w:color="4F81BD"/>
              <w:left w:val="single" w:sz="8" w:space="0" w:color="4F81BD"/>
              <w:bottom w:val="single" w:sz="8" w:space="0" w:color="4F81BD"/>
              <w:right w:val="single" w:sz="8" w:space="0" w:color="4F81BD"/>
            </w:tcBorders>
          </w:tcPr>
          <w:p w14:paraId="61FE9B27" w14:textId="77777777" w:rsidR="00F92C68" w:rsidRPr="001B04CD" w:rsidRDefault="00F92C68" w:rsidP="00EF61B4">
            <w:pPr>
              <w:spacing w:after="0" w:line="240" w:lineRule="auto"/>
              <w:rPr>
                <w:rFonts w:ascii="Times New Roman" w:eastAsia="Times New Roman" w:hAnsi="Times New Roman" w:cs="Times New Roman"/>
                <w:bCs/>
                <w:i/>
                <w:color w:val="002060"/>
                <w:sz w:val="24"/>
                <w:szCs w:val="24"/>
              </w:rPr>
            </w:pPr>
            <w:r w:rsidRPr="001B04CD">
              <w:rPr>
                <w:rFonts w:ascii="Times New Roman" w:eastAsia="Times New Roman" w:hAnsi="Times New Roman" w:cs="Times New Roman"/>
                <w:bCs/>
                <w:i/>
                <w:color w:val="002060"/>
                <w:sz w:val="24"/>
                <w:szCs w:val="24"/>
              </w:rPr>
              <w:t>a) ustav,</w:t>
            </w:r>
          </w:p>
          <w:p w14:paraId="7F930FB0" w14:textId="77777777" w:rsidR="00F92C68" w:rsidRPr="001B04CD" w:rsidRDefault="00F92C68" w:rsidP="00EF61B4">
            <w:pPr>
              <w:spacing w:after="0" w:line="240" w:lineRule="auto"/>
              <w:rPr>
                <w:rFonts w:ascii="Times New Roman" w:eastAsia="Times New Roman" w:hAnsi="Times New Roman" w:cs="Times New Roman"/>
                <w:bCs/>
                <w:i/>
                <w:color w:val="002060"/>
                <w:sz w:val="24"/>
                <w:szCs w:val="24"/>
              </w:rPr>
            </w:pPr>
            <w:r w:rsidRPr="001B04CD">
              <w:rPr>
                <w:rFonts w:ascii="Times New Roman" w:eastAsia="Times New Roman" w:hAnsi="Times New Roman" w:cs="Times New Roman"/>
                <w:bCs/>
                <w:i/>
                <w:color w:val="002060"/>
                <w:sz w:val="24"/>
                <w:szCs w:val="24"/>
              </w:rPr>
              <w:t>b) sporazum,</w:t>
            </w:r>
          </w:p>
          <w:p w14:paraId="47CDE20D" w14:textId="77777777" w:rsidR="00F92C68" w:rsidRPr="001B04CD" w:rsidRDefault="00F92C68" w:rsidP="00EF61B4">
            <w:pPr>
              <w:spacing w:after="0" w:line="240" w:lineRule="auto"/>
              <w:rPr>
                <w:rFonts w:ascii="Times New Roman" w:eastAsia="Times New Roman" w:hAnsi="Times New Roman" w:cs="Times New Roman"/>
                <w:b/>
                <w:bCs/>
                <w:i/>
                <w:color w:val="002060"/>
                <w:sz w:val="24"/>
                <w:szCs w:val="24"/>
              </w:rPr>
            </w:pPr>
            <w:r w:rsidRPr="001B04CD">
              <w:rPr>
                <w:rFonts w:ascii="Times New Roman" w:eastAsia="Times New Roman" w:hAnsi="Times New Roman" w:cs="Times New Roman"/>
                <w:b/>
                <w:bCs/>
                <w:i/>
                <w:color w:val="002060"/>
                <w:sz w:val="24"/>
                <w:szCs w:val="24"/>
              </w:rPr>
              <w:t>c) zakon,</w:t>
            </w:r>
          </w:p>
          <w:p w14:paraId="4065E42A" w14:textId="77777777" w:rsidR="00F92C68" w:rsidRPr="001B04CD" w:rsidRDefault="00F92C68" w:rsidP="00EF61B4">
            <w:pPr>
              <w:spacing w:after="0" w:line="240" w:lineRule="auto"/>
              <w:rPr>
                <w:rFonts w:ascii="Times New Roman" w:eastAsia="Times New Roman" w:hAnsi="Times New Roman" w:cs="Times New Roman"/>
                <w:bCs/>
                <w:i/>
                <w:color w:val="002060"/>
                <w:sz w:val="24"/>
                <w:szCs w:val="24"/>
              </w:rPr>
            </w:pPr>
            <w:r w:rsidRPr="001B04CD">
              <w:rPr>
                <w:rFonts w:ascii="Times New Roman" w:eastAsia="Times New Roman" w:hAnsi="Times New Roman" w:cs="Times New Roman"/>
                <w:bCs/>
                <w:i/>
                <w:color w:val="002060"/>
                <w:sz w:val="24"/>
                <w:szCs w:val="24"/>
              </w:rPr>
              <w:t>d) poslovnik,</w:t>
            </w:r>
          </w:p>
          <w:p w14:paraId="1FEEF820" w14:textId="77777777" w:rsidR="00F92C68" w:rsidRPr="001B04CD" w:rsidRDefault="00F92C68" w:rsidP="00EF61B4">
            <w:pPr>
              <w:spacing w:after="0" w:line="240" w:lineRule="auto"/>
              <w:rPr>
                <w:rFonts w:ascii="Times New Roman" w:eastAsia="Times New Roman" w:hAnsi="Times New Roman" w:cs="Times New Roman"/>
                <w:bCs/>
                <w:i/>
                <w:color w:val="002060"/>
                <w:sz w:val="24"/>
                <w:szCs w:val="24"/>
              </w:rPr>
            </w:pPr>
            <w:r w:rsidRPr="001B04CD">
              <w:rPr>
                <w:rFonts w:ascii="Times New Roman" w:eastAsia="Times New Roman" w:hAnsi="Times New Roman" w:cs="Times New Roman"/>
                <w:bCs/>
                <w:i/>
                <w:color w:val="002060"/>
                <w:sz w:val="24"/>
                <w:szCs w:val="24"/>
              </w:rPr>
              <w:t>e) odluka,</w:t>
            </w:r>
          </w:p>
          <w:p w14:paraId="2DB1A770" w14:textId="77777777" w:rsidR="00F92C68" w:rsidRPr="001B04CD" w:rsidRDefault="00F92C68" w:rsidP="00EF61B4">
            <w:pPr>
              <w:spacing w:after="0" w:line="240" w:lineRule="auto"/>
              <w:rPr>
                <w:rFonts w:ascii="Times New Roman" w:eastAsia="Times New Roman" w:hAnsi="Times New Roman" w:cs="Times New Roman"/>
                <w:bCs/>
                <w:i/>
                <w:color w:val="002060"/>
                <w:sz w:val="24"/>
                <w:szCs w:val="24"/>
              </w:rPr>
            </w:pPr>
            <w:r w:rsidRPr="001B04CD">
              <w:rPr>
                <w:rFonts w:ascii="Times New Roman" w:eastAsia="Times New Roman" w:hAnsi="Times New Roman" w:cs="Times New Roman"/>
                <w:bCs/>
                <w:i/>
                <w:color w:val="002060"/>
                <w:sz w:val="24"/>
                <w:szCs w:val="24"/>
              </w:rPr>
              <w:t>f) uputstvo,</w:t>
            </w:r>
          </w:p>
          <w:p w14:paraId="137135ED" w14:textId="77777777" w:rsidR="00F92C68" w:rsidRPr="001B04CD" w:rsidRDefault="00F92C68" w:rsidP="00EF61B4">
            <w:pPr>
              <w:spacing w:after="0" w:line="240" w:lineRule="auto"/>
              <w:rPr>
                <w:rFonts w:ascii="Times New Roman" w:eastAsia="Times New Roman" w:hAnsi="Times New Roman" w:cs="Times New Roman"/>
                <w:bCs/>
                <w:i/>
                <w:color w:val="002060"/>
                <w:sz w:val="24"/>
                <w:szCs w:val="24"/>
              </w:rPr>
            </w:pPr>
            <w:r w:rsidRPr="001B04CD">
              <w:rPr>
                <w:rFonts w:ascii="Times New Roman" w:eastAsia="Times New Roman" w:hAnsi="Times New Roman" w:cs="Times New Roman"/>
                <w:bCs/>
                <w:i/>
                <w:color w:val="002060"/>
                <w:sz w:val="24"/>
                <w:szCs w:val="24"/>
              </w:rPr>
              <w:t>g) pravilnik,</w:t>
            </w:r>
          </w:p>
          <w:p w14:paraId="792E8E73" w14:textId="77777777" w:rsidR="00F92C68" w:rsidRPr="001B04CD" w:rsidRDefault="00F92C68" w:rsidP="00EF61B4">
            <w:pPr>
              <w:spacing w:after="0" w:line="240" w:lineRule="auto"/>
              <w:rPr>
                <w:rFonts w:ascii="Times New Roman" w:eastAsia="Times New Roman" w:hAnsi="Times New Roman" w:cs="Times New Roman"/>
                <w:bCs/>
                <w:i/>
                <w:color w:val="002060"/>
                <w:sz w:val="24"/>
                <w:szCs w:val="24"/>
              </w:rPr>
            </w:pPr>
            <w:r w:rsidRPr="001B04CD">
              <w:rPr>
                <w:rFonts w:ascii="Times New Roman" w:eastAsia="Times New Roman" w:hAnsi="Times New Roman" w:cs="Times New Roman"/>
                <w:bCs/>
                <w:i/>
                <w:color w:val="002060"/>
                <w:sz w:val="24"/>
                <w:szCs w:val="24"/>
              </w:rPr>
              <w:t>h) drugi opći pravni akt.</w:t>
            </w:r>
          </w:p>
        </w:tc>
      </w:tr>
      <w:tr w:rsidR="00F92C68" w:rsidRPr="001B04CD" w14:paraId="10147A2F" w14:textId="77777777" w:rsidTr="003031BE">
        <w:trPr>
          <w:trHeight w:val="268"/>
        </w:trPr>
        <w:tc>
          <w:tcPr>
            <w:tcW w:w="5448" w:type="dxa"/>
            <w:tcBorders>
              <w:top w:val="single" w:sz="8" w:space="0" w:color="4F81BD"/>
              <w:left w:val="single" w:sz="8" w:space="0" w:color="4F81BD"/>
              <w:bottom w:val="single" w:sz="8" w:space="0" w:color="4F81BD"/>
              <w:right w:val="single" w:sz="8" w:space="0" w:color="4F81BD"/>
            </w:tcBorders>
          </w:tcPr>
          <w:p w14:paraId="67538783" w14:textId="77777777" w:rsidR="00F92C68" w:rsidRPr="001B04CD" w:rsidRDefault="00F92C68" w:rsidP="00EF61B4">
            <w:pPr>
              <w:spacing w:after="0" w:line="240" w:lineRule="auto"/>
              <w:rPr>
                <w:rFonts w:ascii="Times New Roman" w:hAnsi="Times New Roman" w:cs="Times New Roman"/>
                <w:b/>
                <w:bCs/>
                <w:sz w:val="24"/>
                <w:szCs w:val="24"/>
              </w:rPr>
            </w:pPr>
            <w:r w:rsidRPr="001B04CD">
              <w:rPr>
                <w:rFonts w:ascii="Times New Roman" w:hAnsi="Times New Roman" w:cs="Times New Roman"/>
                <w:b/>
                <w:bCs/>
                <w:sz w:val="24"/>
                <w:szCs w:val="24"/>
              </w:rPr>
              <w:t>NAZIV PROPISA</w:t>
            </w:r>
          </w:p>
          <w:p w14:paraId="0A82A96D" w14:textId="77777777" w:rsidR="00FF77A1" w:rsidRPr="001B04CD" w:rsidRDefault="00FF77A1" w:rsidP="00EF61B4">
            <w:pPr>
              <w:spacing w:after="0" w:line="240" w:lineRule="auto"/>
              <w:rPr>
                <w:rFonts w:ascii="Times New Roman" w:hAnsi="Times New Roman" w:cs="Times New Roman"/>
                <w:b/>
                <w:bCs/>
                <w:sz w:val="24"/>
                <w:szCs w:val="24"/>
              </w:rPr>
            </w:pPr>
            <w:r w:rsidRPr="001B04CD">
              <w:rPr>
                <w:rFonts w:ascii="Times New Roman" w:hAnsi="Times New Roman" w:cs="Times New Roman"/>
                <w:b/>
                <w:bCs/>
                <w:sz w:val="24"/>
                <w:szCs w:val="24"/>
              </w:rPr>
              <w:t>Zakon o javnim nabavkama</w:t>
            </w:r>
          </w:p>
        </w:tc>
        <w:tc>
          <w:tcPr>
            <w:tcW w:w="3840" w:type="dxa"/>
            <w:tcBorders>
              <w:top w:val="single" w:sz="8" w:space="0" w:color="4F81BD"/>
              <w:left w:val="single" w:sz="8" w:space="0" w:color="4F81BD"/>
              <w:bottom w:val="single" w:sz="8" w:space="0" w:color="4F81BD"/>
              <w:right w:val="single" w:sz="8" w:space="0" w:color="4F81BD"/>
            </w:tcBorders>
          </w:tcPr>
          <w:p w14:paraId="51AA5F3D" w14:textId="77777777" w:rsidR="00F92C68" w:rsidRPr="001B04CD" w:rsidRDefault="00F92C68" w:rsidP="00EF61B4">
            <w:pPr>
              <w:spacing w:after="0" w:line="240" w:lineRule="auto"/>
              <w:rPr>
                <w:rFonts w:ascii="Times New Roman" w:eastAsia="Times New Roman" w:hAnsi="Times New Roman" w:cs="Times New Roman"/>
                <w:bCs/>
                <w:sz w:val="24"/>
                <w:szCs w:val="24"/>
              </w:rPr>
            </w:pPr>
          </w:p>
        </w:tc>
      </w:tr>
      <w:tr w:rsidR="00F92C68" w:rsidRPr="001B04CD" w14:paraId="523B3E4C" w14:textId="77777777" w:rsidTr="00EF61B4">
        <w:trPr>
          <w:trHeight w:val="268"/>
        </w:trPr>
        <w:tc>
          <w:tcPr>
            <w:tcW w:w="0" w:type="auto"/>
            <w:gridSpan w:val="2"/>
            <w:tcBorders>
              <w:top w:val="single" w:sz="8" w:space="0" w:color="4F81BD"/>
              <w:left w:val="single" w:sz="8" w:space="0" w:color="4F81BD"/>
              <w:bottom w:val="single" w:sz="8" w:space="0" w:color="4F81BD"/>
              <w:right w:val="single" w:sz="8" w:space="0" w:color="4F81BD"/>
            </w:tcBorders>
          </w:tcPr>
          <w:p w14:paraId="7CA01A70" w14:textId="77777777" w:rsidR="00F92C68" w:rsidRPr="001B04CD" w:rsidRDefault="00F92C68" w:rsidP="00EF61B4">
            <w:pPr>
              <w:spacing w:after="0" w:line="240" w:lineRule="auto"/>
              <w:rPr>
                <w:rFonts w:ascii="Times New Roman" w:eastAsia="Times New Roman" w:hAnsi="Times New Roman" w:cs="Times New Roman"/>
                <w:b/>
                <w:bCs/>
                <w:color w:val="002060"/>
                <w:sz w:val="24"/>
                <w:szCs w:val="24"/>
              </w:rPr>
            </w:pPr>
            <w:r w:rsidRPr="001B04CD">
              <w:rPr>
                <w:rFonts w:ascii="Times New Roman" w:eastAsia="Times New Roman" w:hAnsi="Times New Roman" w:cs="Times New Roman"/>
                <w:b/>
                <w:bCs/>
                <w:color w:val="002060"/>
                <w:sz w:val="24"/>
                <w:szCs w:val="24"/>
              </w:rPr>
              <w:t>1. PRAVNI OSNOV ZA DONOŠENJE PROPISA</w:t>
            </w:r>
          </w:p>
          <w:p w14:paraId="252331D3" w14:textId="77777777" w:rsidR="00D705DA" w:rsidRPr="001B04CD" w:rsidRDefault="00D705DA" w:rsidP="00B80711">
            <w:pPr>
              <w:spacing w:after="0" w:line="240" w:lineRule="auto"/>
              <w:jc w:val="both"/>
              <w:rPr>
                <w:rFonts w:ascii="Times New Roman" w:eastAsia="Times New Roman" w:hAnsi="Times New Roman" w:cs="Times New Roman"/>
                <w:b/>
                <w:bCs/>
                <w:sz w:val="24"/>
                <w:szCs w:val="24"/>
              </w:rPr>
            </w:pPr>
            <w:r w:rsidRPr="001B04CD">
              <w:rPr>
                <w:rFonts w:ascii="Times New Roman" w:hAnsi="Times New Roman" w:cs="Times New Roman"/>
                <w:sz w:val="24"/>
                <w:szCs w:val="24"/>
              </w:rPr>
              <w:t>Ustavni osnov za donošenje Zakona o javnim nabavkama je sadržan u članu IV 4. a) Ustava Bosne i Hercegovine, prema kojim odredbama je Parlamentarna skupština BiH odgovorna za donošenje zakona. Članom 92. stav (3) tačka a) Agencija za javne nabavke BiH je nadležna za pripremu i izradu nacrta zakona, nacrta izmjena i dopuna zakona i pratećih podzakonskih akata, u svrhu osiguranja njihove djelotvornosti i svrsishodnosti.</w:t>
            </w:r>
          </w:p>
        </w:tc>
      </w:tr>
      <w:tr w:rsidR="00F92C68" w:rsidRPr="001B04CD" w14:paraId="3236DA3B" w14:textId="77777777" w:rsidTr="00EF61B4">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14:paraId="45D1D0DC" w14:textId="77777777" w:rsidR="00F92C68" w:rsidRPr="001B04CD" w:rsidRDefault="00F92C68" w:rsidP="00CE273A">
            <w:pPr>
              <w:spacing w:after="0" w:line="240" w:lineRule="auto"/>
              <w:jc w:val="both"/>
              <w:rPr>
                <w:rFonts w:ascii="Times New Roman" w:eastAsia="Arial Unicode MS" w:hAnsi="Times New Roman" w:cs="Times New Roman"/>
                <w:b/>
                <w:bCs/>
                <w:caps/>
                <w:color w:val="002060"/>
                <w:sz w:val="24"/>
                <w:szCs w:val="24"/>
                <w:lang w:eastAsia="ja-JP"/>
              </w:rPr>
            </w:pPr>
            <w:r w:rsidRPr="001B04CD">
              <w:rPr>
                <w:rFonts w:ascii="Times New Roman" w:eastAsia="Times New Roman" w:hAnsi="Times New Roman" w:cs="Times New Roman"/>
                <w:b/>
                <w:bCs/>
                <w:color w:val="002060"/>
                <w:sz w:val="24"/>
                <w:szCs w:val="24"/>
              </w:rPr>
              <w:t xml:space="preserve">2. </w:t>
            </w:r>
            <w:r w:rsidRPr="001B04CD">
              <w:rPr>
                <w:rFonts w:ascii="Times New Roman" w:eastAsia="Arial Unicode MS" w:hAnsi="Times New Roman" w:cs="Times New Roman"/>
                <w:b/>
                <w:bCs/>
                <w:caps/>
                <w:color w:val="002060"/>
                <w:sz w:val="24"/>
                <w:szCs w:val="24"/>
                <w:lang w:eastAsia="ja-JP"/>
              </w:rPr>
              <w:t>Analiza stanja i utvrđivanje problema</w:t>
            </w:r>
          </w:p>
          <w:p w14:paraId="1D466D4D" w14:textId="77777777" w:rsidR="000A4C76" w:rsidRPr="001B04CD" w:rsidRDefault="000A4C76" w:rsidP="00CE273A">
            <w:pPr>
              <w:autoSpaceDE w:val="0"/>
              <w:autoSpaceDN w:val="0"/>
              <w:adjustRightInd w:val="0"/>
              <w:spacing w:after="0" w:line="240" w:lineRule="auto"/>
              <w:jc w:val="both"/>
              <w:rPr>
                <w:rFonts w:ascii="Times New Roman" w:hAnsi="Times New Roman" w:cs="Times New Roman"/>
                <w:b/>
                <w:color w:val="002060"/>
                <w:sz w:val="24"/>
                <w:szCs w:val="24"/>
              </w:rPr>
            </w:pPr>
          </w:p>
          <w:p w14:paraId="31DBF399" w14:textId="77777777" w:rsidR="002A40C1" w:rsidRPr="001B04CD" w:rsidRDefault="000A4C76" w:rsidP="00CE273A">
            <w:pPr>
              <w:autoSpaceDE w:val="0"/>
              <w:autoSpaceDN w:val="0"/>
              <w:adjustRightInd w:val="0"/>
              <w:spacing w:after="0" w:line="240" w:lineRule="auto"/>
              <w:jc w:val="both"/>
              <w:rPr>
                <w:rFonts w:ascii="Times New Roman" w:hAnsi="Times New Roman" w:cs="Times New Roman"/>
                <w:b/>
                <w:color w:val="002060"/>
                <w:sz w:val="24"/>
                <w:szCs w:val="24"/>
              </w:rPr>
            </w:pPr>
            <w:r w:rsidRPr="001B04CD">
              <w:rPr>
                <w:rFonts w:ascii="Times New Roman" w:hAnsi="Times New Roman" w:cs="Times New Roman"/>
                <w:b/>
                <w:color w:val="002060"/>
                <w:sz w:val="24"/>
                <w:szCs w:val="24"/>
              </w:rPr>
              <w:t>Uvod</w:t>
            </w:r>
          </w:p>
          <w:p w14:paraId="5E1CF924" w14:textId="77777777" w:rsidR="00CC049E" w:rsidRPr="001B04CD" w:rsidRDefault="00CC049E" w:rsidP="005756E7">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U skladu sa članom 9. Aneksa I, u ovom dijelu nastojalo se što sveobuhvatnije sagledati trenutno stanje i razloge za donošenje novog Zakona o javnim nabavkama. Cilj je bio da se identifikuje i detaljno analizira postojeći problem i okolnosti njegovog nastanka, da se odrede interesne strane koje su direktno ili indirektno zahvaćene, kao i da se procijeni da li se radi o povremenom ili trajnom problemu. Uz to, nastojalo se prikazati razvoj problema tokom vremena, razjasniti zašto postojeće stanje više nije održivo i uspostaviti jasne uzročno-posljedične veze, uključujući i rizike koji se mogu očekivati ukoliko se novi zakon ne donese.</w:t>
            </w:r>
          </w:p>
          <w:p w14:paraId="188EBBA3" w14:textId="77777777" w:rsidR="00CC049E" w:rsidRPr="001B04CD" w:rsidRDefault="00CC049E" w:rsidP="005756E7">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 xml:space="preserve">Javne nabavke su izrazito dinamična oblast, koja se stalno prilagođava promjenama u trgovinskom i poslovnom okruženju, kao i tehnološkim inovacijama. Njihova priroda je višeslojna i usko povezana sa nizom drugih važnih politika: slobodnom i poštenom konkurencijom, borbom protiv korupcije, zaštitom zdravlja i potrošača, očuvanjem životne sredine, jačanjem rodne ravnopravnosti, razvojem malih i srednjih preduzeća, promicanjem socijalnih i društveno odgovornih preduzeća, smanjenjem siromaštva i socijalnom inkluzijom, kao i zaštitom radničkih i ljudskih prava. Javne nabavke takođe mogu biti alat za otvaranje prostora za žensko poduzetništvo i ekonomsko osnaživanje žena, kao i za stvaranje </w:t>
            </w:r>
            <w:r w:rsidRPr="001B04CD">
              <w:rPr>
                <w:rFonts w:ascii="Times New Roman" w:eastAsia="Times New Roman" w:hAnsi="Times New Roman" w:cs="Times New Roman"/>
                <w:sz w:val="24"/>
                <w:szCs w:val="24"/>
              </w:rPr>
              <w:lastRenderedPageBreak/>
              <w:t>novih radnih mjesta za marginalizovane grupe, doprinoseći razvoju socijalnih preduzeća i inkluzivnijoj ekonomiji.</w:t>
            </w:r>
          </w:p>
          <w:p w14:paraId="36C122B9" w14:textId="77777777" w:rsidR="00CC049E" w:rsidRPr="001B04CD" w:rsidRDefault="00CC049E" w:rsidP="005756E7">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Iz tog razloga, javne nabavke se sve više prepoznaju ne samo kao mehanizam za obezbjeđivanje roba, usluga i radova potrebnih javnom sektoru, nego i kao snažno sredstvo vlasti da osiguraju dobrobit, sigurnost i održivi razvoj društva.</w:t>
            </w:r>
          </w:p>
          <w:p w14:paraId="2A5DEA20" w14:textId="77777777" w:rsidR="00CC049E" w:rsidRPr="001B04CD" w:rsidRDefault="00CC049E" w:rsidP="005756E7">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Na evropskom putu Bosne i Hercegovine, reforme u oblasti javnih nabavki imaju poseban značaj. Nakon potpisivanja Sporazuma o stabilizaciji i pridruživanju 2008. godine i dodjele kandidatskog statusa 2022. godine, BiH se obavezala na ispunjenje 14 ključnih prioriteta iz Mišljenja Evropske komisije, među kojima je i jačanje sistema javnih nabavki. Ključni prioritet 7 posebno naglašava borbu protiv korupcije i organizovanog kriminala kroz usklađivanje zakonodavstva i jačanje institucionalnih kapaciteta. Iako je u posljednjem izvještaju Evropske komisije zabilježen određeni napredak, jasno se naglašava potreba daljnjeg usklađivanja sa EU pravnom stečevinom, provođenja Strategije javnih nabavki 2024–2028 i jačanja kapaciteta svih nadležnih institucija, uključujući Agenciju za javne nabavke i Ured za razmatranje žalbi.</w:t>
            </w:r>
          </w:p>
          <w:p w14:paraId="6FEB9C13" w14:textId="77777777" w:rsidR="00CC049E" w:rsidRPr="001B04CD" w:rsidRDefault="00CC049E" w:rsidP="005756E7">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Sistem javnih nabavki u BiH, iako modernizovan u određenim segmentima, i dalje je izložen ozbiljnim izazovima. Riječ je prije svega o prekompliciranim procedurama koje ne sprječavaju u dovoljnoj mjeri korupciju, slabim administrativnim kapacitetima i rastućem broju žalbi koji dodatno opterećuje sistem.</w:t>
            </w:r>
          </w:p>
          <w:p w14:paraId="3CCF658F" w14:textId="77777777" w:rsidR="00CC049E" w:rsidRPr="001B04CD" w:rsidRDefault="00CC049E" w:rsidP="005756E7">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U segmentu održivih i zelenih nabavki, problemi su naročito izraženi. Iako postoje zakonske mogućnosti za uključivanje ekoloških kriterija, one se u praksi rijetko koriste. Nedostaju obavezujuće smjernice i metodologije za upotrebu ekoloških oznaka i izračun troška životnog vijeka, službenici nemaju dovoljno stručnih znanja, a mala i srednja preduzeća nailaze na poteškoće da ispune složene standarde. Osim toga, ne postoji sistematsko praćenje koliko je postupaka obuhvatilo zelene kriterije niti evaluacija njihovog efekta.</w:t>
            </w:r>
          </w:p>
          <w:p w14:paraId="7B780513" w14:textId="77777777" w:rsidR="00CC049E" w:rsidRPr="001B04CD" w:rsidRDefault="00CC049E" w:rsidP="005756E7">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U svjetlu EU obaveza, naročito Direktiva 2014/24/EU i 2014/25/EU, nužno je da javne nabavke u BiH postanu važan instrument za ostvarivanje ciljeva održivog razvoja, zaštite okoliša i prelaska na zelenu ekonomiju. Novi zakon upravo treba da stvori okvir koji će omogućiti dosljednu i mjerljivu primjenu ovih principa.</w:t>
            </w:r>
          </w:p>
          <w:p w14:paraId="466799D8" w14:textId="77777777" w:rsidR="005756E7" w:rsidRPr="001B04CD" w:rsidRDefault="005756E7" w:rsidP="003F21D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Prema tome, u skladu sa članom 9. Aneksa I, u ovom dokumentu nastoji se što potpunije sagledati postojeće stanje sistema javnih nabavki u Bosni i Hercegovini, razloge za donošenje novog zakona, kao i identificirati i analizirati ključne probleme koji su se pokazali kao trajni i sistemski. Poseban akcenat stavljen je na identifikaciju interesnih strana koje su pogođene ovim problemima, kako direktno tako i indirektno, te na analizu uzročno-posljedičnih veza i rizika koji se mogu očekivati ukoliko se ne pristupi reformi zakonodavstva. Cilj je da se na osnovu detaljne situacione analize utvrdi zbog čega postojeće stanje nije održivo i zašto je donošenje novog zakona nužno za dalji razvoj sistema.</w:t>
            </w:r>
          </w:p>
          <w:p w14:paraId="0F85DBB3" w14:textId="77777777" w:rsidR="005756E7" w:rsidRPr="001B04CD" w:rsidRDefault="005756E7" w:rsidP="003F21D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 xml:space="preserve">Javne nabavke u Bosni i Hercegovini predstavljaju jedan od najvažnijih segmenata javnih politika, budući da obuhvataju godišnji obim od preko 4,4 milijarde KM i direktno utiču na privredni rast, razvoj malih i srednjih preduzeća, socijalnu uključenost i kvalitet javnih usluga. Kao oblast izložena rizicima korupcije, koluzije i neefikasnog trošenja javnih sredstava, javne nabavke su ujedno i osjetljivo polje u kojem se testira vladavina prava i povjerenje građana u institucije. U proteklom periodu postignut je određeni napredak, </w:t>
            </w:r>
            <w:r w:rsidRPr="001B04CD">
              <w:rPr>
                <w:rFonts w:ascii="Times New Roman" w:eastAsia="Times New Roman" w:hAnsi="Times New Roman" w:cs="Times New Roman"/>
                <w:sz w:val="24"/>
                <w:szCs w:val="24"/>
              </w:rPr>
              <w:lastRenderedPageBreak/>
              <w:t>posebno kroz digitalizaciju sistema i jačanje kapaciteta Agencije za javne nabavke i Ureda za razmatranje žalbi, ali analiza dostupnih podataka i izvještaja Evropske komisije, SIGMA-e i nevladinih organizacija ukazuje na to da ključni problemi ostaju neriješeni.</w:t>
            </w:r>
          </w:p>
          <w:p w14:paraId="1D4A088B" w14:textId="77777777" w:rsidR="005756E7" w:rsidRPr="001B04CD" w:rsidRDefault="005756E7" w:rsidP="003F21D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 xml:space="preserve">Jedan od najvećih izazova odnosi se na koluziju i ograničenu konkurenciju. Veliki broj postupaka javnih nabavki završava se sa samo jednom ponudom, što otvara prostor za kartelske dogovore i koordinisano ponašanje ponuđača. Iako ZJN formalno propisuje zabranu narušavanja konkurencije, odgovornost za otkrivanje i sankcionisanje koluzije prebačena je na Konkurencijsko vijeće, koje u praksi rijetko reaguje pravovremeno. Ugovorni organi nemaju ni kapacitete ni alate da prepoznaju tipične indikatore dogovaranja, a institucionalna saradnja između nadležnih tijela </w:t>
            </w:r>
            <w:r w:rsidR="00C55CD1" w:rsidRPr="001B04CD">
              <w:rPr>
                <w:rFonts w:ascii="Times New Roman" w:eastAsia="Times New Roman" w:hAnsi="Times New Roman" w:cs="Times New Roman"/>
                <w:sz w:val="24"/>
                <w:szCs w:val="24"/>
              </w:rPr>
              <w:t>tek je u povoju</w:t>
            </w:r>
            <w:r w:rsidRPr="001B04CD">
              <w:rPr>
                <w:rFonts w:ascii="Times New Roman" w:eastAsia="Times New Roman" w:hAnsi="Times New Roman" w:cs="Times New Roman"/>
                <w:sz w:val="24"/>
                <w:szCs w:val="24"/>
              </w:rPr>
              <w:t>. Posljedica su spori i neefikasni postupci sankcionisanja, što obeshrabruje ponuđače i dodatno smanjuje konkurenciju.</w:t>
            </w:r>
          </w:p>
          <w:p w14:paraId="3C367DE9" w14:textId="77777777" w:rsidR="005756E7" w:rsidRPr="001B04CD" w:rsidRDefault="005756E7" w:rsidP="003F21D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 xml:space="preserve">Pored toga, oblast zelenih javnih nabavki u BiH ostaje marginalizovana. Iako zakon već sada prepoznaje mogućnost ugradnje ekoloških kriterija, njihova praktična primjena je minimalna. Ugovorni organi rijetko koriste </w:t>
            </w:r>
            <w:r w:rsidR="00C55CD1" w:rsidRPr="001B04CD">
              <w:rPr>
                <w:rFonts w:ascii="Times New Roman" w:eastAsia="Times New Roman" w:hAnsi="Times New Roman" w:cs="Times New Roman"/>
                <w:sz w:val="24"/>
                <w:szCs w:val="24"/>
              </w:rPr>
              <w:t xml:space="preserve">okolišni </w:t>
            </w:r>
            <w:r w:rsidRPr="001B04CD">
              <w:rPr>
                <w:rFonts w:ascii="Times New Roman" w:eastAsia="Times New Roman" w:hAnsi="Times New Roman" w:cs="Times New Roman"/>
                <w:sz w:val="24"/>
                <w:szCs w:val="24"/>
              </w:rPr>
              <w:t>kriterij, ne postoje obavezne smjernice niti metodologije, a službenici koji provode postupke nemaju dovoljno znanja o održivim praksama. Istovremeno, mali i srednji ponuđači suočavaju se s poteškoćama u ispunjavanju ekoloških standarda, pa su često isključeni iz postupaka. Ne postoji centralna evidencija o broju postupaka koji uključuju zelene kriterije niti procjena efekata takvih nabavki. Sve to dovodi do toga da BiH zaostaje za praksama EU, gdje su zelene i održive nabavke prepoznate kao ključno sredstvo u tranziciji ka zelenoj ekonomiji.</w:t>
            </w:r>
          </w:p>
          <w:p w14:paraId="11891D14" w14:textId="77777777" w:rsidR="005756E7" w:rsidRPr="001B04CD" w:rsidRDefault="005756E7" w:rsidP="003F21D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Dalje, iako je cilj zakona povećati pristup tržištu malim i srednjim preduzećima, praksa pokazuje da je njihovo učešće ograničeno. Razlog leži u složenim procedurama, visokim administrativnim zahtjevima i nedovoljnom prilagođavanju pragova i kriterija manjim privrednim subjektima. Umjesto da javne nabavke podstiču razvoj domaće privrede i otvaranje novih radnih mjesta, one se često svode na formalne postupke u kojima dominiraju veće kompanije, dok mala preduzeća ostaju po strani.</w:t>
            </w:r>
          </w:p>
          <w:p w14:paraId="542D3C0A" w14:textId="77777777" w:rsidR="005756E7" w:rsidRPr="001B04CD" w:rsidRDefault="005756E7" w:rsidP="003F21D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Rezervisani ugovori i socijalna komponenta nabavki predstavljaju još jedno područje koje je do sada bilo nedovoljno iskorišteno. Postojeće zakonske odredbe omogućavaju njihovu primjenu, ali nedostatak jasnih pravila i smjernica doveo je do toga da ugovorni organi rijetko koriste ovaj instrument. Time se propušta prilika da se javne nabavke iskoriste kao alat za socijalnu inkluziju, zapošljavanje osoba sa invaliditetom, osnaživanje žena i marginalizovanih grupa, te razvoj socijalnih preduzeća.</w:t>
            </w:r>
          </w:p>
          <w:p w14:paraId="6665392D" w14:textId="77777777" w:rsidR="005756E7" w:rsidRPr="001B04CD" w:rsidRDefault="005756E7" w:rsidP="003F21D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Praćenje postupaka javnih nabavki također je identifikovano kao slab segment sistema. Nedostatak centralizovane baze podataka i nepostojanje obaveznih izvještaja o primjeni određenih politika (poput zelenih i socijalnih kriterija) otežava analizu trendova i donošenje odluka zasnovanih na dokazima. Revizorski izvještaji, iako ukazuju na brojne nepravilnosti, ostaju često bez konkretnih posljedica. Time se propušta prilika za uspostavu snažnijeg sistema evaluacije i korektivnih mjera.</w:t>
            </w:r>
          </w:p>
          <w:p w14:paraId="544F629E" w14:textId="77777777" w:rsidR="005756E7" w:rsidRPr="001B04CD" w:rsidRDefault="005756E7" w:rsidP="003F21D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Na kraju, posebno treba istaći problem dugotrajnih i komplikovanih žalbenih postupaka. Broj žalbi raste iz godine u godinu</w:t>
            </w:r>
            <w:r w:rsidR="00D03082" w:rsidRPr="001B04CD">
              <w:rPr>
                <w:rFonts w:ascii="Times New Roman" w:eastAsia="Times New Roman" w:hAnsi="Times New Roman" w:cs="Times New Roman"/>
                <w:sz w:val="24"/>
                <w:szCs w:val="24"/>
              </w:rPr>
              <w:t xml:space="preserve">. </w:t>
            </w:r>
            <w:r w:rsidRPr="001B04CD">
              <w:rPr>
                <w:rFonts w:ascii="Times New Roman" w:eastAsia="Times New Roman" w:hAnsi="Times New Roman" w:cs="Times New Roman"/>
                <w:sz w:val="24"/>
                <w:szCs w:val="24"/>
              </w:rPr>
              <w:t xml:space="preserve"> </w:t>
            </w:r>
            <w:r w:rsidR="00D03082" w:rsidRPr="001B04CD">
              <w:rPr>
                <w:sz w:val="24"/>
                <w:szCs w:val="24"/>
              </w:rPr>
              <w:t xml:space="preserve">Žalbeni postupci su u praksi često spori i podložni zloupotrebama, uključujući pojavu strateških žalbi koje služe samo za odgađanje postupaka. Cilj je osigurati efikasnu i brzu pravnu zaštitu, uz balansiranje prava ponuđača i zaštite javnog interesa. Kao moguća rješenja razmatra se uvođenje elektronske žalbe, skraćivanje </w:t>
            </w:r>
            <w:r w:rsidR="00D03082" w:rsidRPr="001B04CD">
              <w:rPr>
                <w:sz w:val="24"/>
                <w:szCs w:val="24"/>
              </w:rPr>
              <w:lastRenderedPageBreak/>
              <w:t xml:space="preserve">rokova i filtriranje očito neosnovanih žalbi. </w:t>
            </w:r>
            <w:r w:rsidRPr="001B04CD">
              <w:rPr>
                <w:rFonts w:ascii="Times New Roman" w:eastAsia="Times New Roman" w:hAnsi="Times New Roman" w:cs="Times New Roman"/>
                <w:sz w:val="24"/>
                <w:szCs w:val="24"/>
              </w:rPr>
              <w:t>Kao rezultat</w:t>
            </w:r>
            <w:r w:rsidR="00D03082" w:rsidRPr="001B04CD">
              <w:rPr>
                <w:rFonts w:ascii="Times New Roman" w:eastAsia="Times New Roman" w:hAnsi="Times New Roman" w:cs="Times New Roman"/>
                <w:sz w:val="24"/>
                <w:szCs w:val="24"/>
              </w:rPr>
              <w:t xml:space="preserve"> trenutnog stanja</w:t>
            </w:r>
            <w:r w:rsidRPr="001B04CD">
              <w:rPr>
                <w:rFonts w:ascii="Times New Roman" w:eastAsia="Times New Roman" w:hAnsi="Times New Roman" w:cs="Times New Roman"/>
                <w:sz w:val="24"/>
                <w:szCs w:val="24"/>
              </w:rPr>
              <w:t>, značajan broj postupaka javnih nabavki ostaje blokiran, što usporava realizaciju infrastrukturnih i drugih važnih projekata. Ovaj problem dodatno narušava pravnu sigurnost i povjerenje u sistem.</w:t>
            </w:r>
          </w:p>
          <w:p w14:paraId="04871720" w14:textId="77777777" w:rsidR="005756E7" w:rsidRPr="001B04CD" w:rsidRDefault="005756E7" w:rsidP="003F21D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Sve navedeno potvrđuje da je sistem javnih nabavki u Bosni i Hercegovini ušao u fazu kada postojeća zakonska rješenja više ne mogu odgovoriti na potrebe prakse niti na obaveze preuzete na putu evropskih integracija. Novi zakon treba da adresira pomenute izazove, kroz uvođenje efikasnijih mehanizama za sprječavanje koluzije, jačanje zelenih i socijalno odgovornih nabavki, otvaranje tržišta za mala i srednja preduzeća, skraćivanje žalbenih procedura i jačanje kapaciteta institucija. Samo tako javne nabavke mogu postati istinski instrument transparentnog upravljanja javnim sredstvima, razvoja privrede i ostvarivanja ciljeva održivog razvoja.</w:t>
            </w:r>
          </w:p>
          <w:p w14:paraId="4D8EE44A" w14:textId="77777777" w:rsidR="00810D27" w:rsidRPr="001B04CD" w:rsidRDefault="00810D27" w:rsidP="00CE273A">
            <w:pPr>
              <w:pStyle w:val="Heading2"/>
              <w:jc w:val="both"/>
              <w:rPr>
                <w:b w:val="0"/>
                <w:sz w:val="24"/>
                <w:szCs w:val="24"/>
                <w:lang w:val="bs-Latn-BA"/>
              </w:rPr>
            </w:pPr>
            <w:r w:rsidRPr="001B04CD">
              <w:rPr>
                <w:b w:val="0"/>
                <w:sz w:val="24"/>
                <w:szCs w:val="24"/>
                <w:lang w:val="bs-Latn-BA"/>
              </w:rPr>
              <w:t>Ključne teme za sveobuhvatnu procjenu učinaka</w:t>
            </w:r>
            <w:r w:rsidR="00C1588F" w:rsidRPr="001B04CD">
              <w:rPr>
                <w:b w:val="0"/>
                <w:sz w:val="24"/>
                <w:szCs w:val="24"/>
                <w:lang w:val="bs-Latn-BA"/>
              </w:rPr>
              <w:t xml:space="preserve"> su koncipirane na 8 tematskih cjelina</w:t>
            </w:r>
            <w:r w:rsidR="003031BE" w:rsidRPr="001B04CD">
              <w:rPr>
                <w:b w:val="0"/>
                <w:sz w:val="24"/>
                <w:szCs w:val="24"/>
                <w:lang w:val="bs-Latn-BA"/>
              </w:rPr>
              <w:t>:</w:t>
            </w:r>
          </w:p>
          <w:p w14:paraId="7DD8D786" w14:textId="77777777" w:rsidR="00C1588F" w:rsidRPr="001B04CD" w:rsidRDefault="00810D27" w:rsidP="003031BE">
            <w:pPr>
              <w:pStyle w:val="Heading3"/>
              <w:jc w:val="both"/>
              <w:rPr>
                <w:sz w:val="24"/>
                <w:szCs w:val="24"/>
                <w:lang w:val="bs-Latn-BA"/>
              </w:rPr>
            </w:pPr>
            <w:r w:rsidRPr="001B04CD">
              <w:rPr>
                <w:sz w:val="24"/>
                <w:szCs w:val="24"/>
                <w:lang w:val="bs-Latn-BA"/>
              </w:rPr>
              <w:t>Koluzija i ograničena konkurencija</w:t>
            </w:r>
          </w:p>
          <w:p w14:paraId="02D13E6C" w14:textId="77777777" w:rsidR="00C1588F" w:rsidRPr="001B04CD" w:rsidRDefault="00C1588F" w:rsidP="003031BE">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U sistemu javnih nabavki Bosne i Hercegovine veliki broj postupaka okončava se sa samo jednom dostavljenom ponudom, što upućuje na nedovoljnu konkurenciju i stvara rizike od kartelskog dogovaranja ponuđača. Važeći Zakon o javnim nabavkama (član 52 stav  (12) propisuje da ponuđači moraju podnijeti svoje ponude bez narušavanja tržišne konkurencije, odnosno bez zabranjenih dogovora sa drugim ponuđačima. Za zaštitu tržišne konkurencije nadležno je Konkurencijsko vijeće BiH, kojem se mogu podnijeti zahtjevi u slučaju postojanja sumnje na povredu konkurencije.</w:t>
            </w:r>
          </w:p>
          <w:p w14:paraId="305469C3" w14:textId="77777777" w:rsidR="00C1588F" w:rsidRPr="001B04CD" w:rsidRDefault="00C1588F" w:rsidP="003031BE">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Međutim, praksa je pokazala značajne slabosti ovakvog rješenja. Odgovornost za utvrđivanje koluzije nadležnost je Konkurencijskog vijeće, koje ne može reagirati u realnom vremenu dok se postupak nabavke provodi, već tek nakon što je nabavka završena. Na taj način učinci sankcija gube smisao, jer se šteta za konkurenciju i budžet već dogodila. Ugovorni organi, s druge strane, nemaju potrebne kapacitete niti jasne smjernice kako prepoznati indikatore koluzije. Takvi indikatori mogu biti, na primjer, rotiranje ponuda među istim ponuđačima u različitim postupcima, neuobičajeno slične cijene ili obrasci koordinisanog povlačenja ponuda. Bez obuke i alata za prepoznavanje ovih obrazaca, ugovorni organi ostaju pasivni posmatrači.</w:t>
            </w:r>
          </w:p>
          <w:p w14:paraId="316A1DFB" w14:textId="77777777" w:rsidR="00C1588F" w:rsidRPr="001B04CD" w:rsidRDefault="00C1588F" w:rsidP="003031BE">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Dodatni problem predstavlja činjenica da ne postoje obavezni mehanizmi za sistematsko „screening“ praćenje ponuda, niti institucionalizovana saradnja između Agencije za javne nabavke i Konkurencijskog vijeća. U postojećem okviru dvije institucije djeluju odvojeno, bez adekvatne koordinacije i u posljednje vrijeme se radi na intenziviranju saradnje osnivanjem zajedničke radne grupe. Posljedica je spor i neučinkovit odgovor sistema na ozbiljne rizike dogovaranja ponuđača. Sve navedeno dovodi do smanjenja efikasnosti javne potrošnje, jer ograničena konkurencija i koluzija direktno rezultiraju višim cijenama, lošijim kvalitetom i gubitkom povjerenja javnosti u sistem javnih nabavki. Novi prednacrt zakona zato uvodi određene novine – između ostalog, koluzija i srodne pojave svrstane su u kategoriju profesionalnog propusta, što omogućava da ponuđač bude isključen iz postupka zbog narušavanja tržišne konkurencije. Također, prednacrt jača principe proporcionalnosti i transparentnosti, koji indirektno doprinose prevenciji kartelskog ponašanja.</w:t>
            </w:r>
          </w:p>
          <w:p w14:paraId="4F0D033E" w14:textId="77777777" w:rsidR="00C1588F" w:rsidRPr="001B04CD" w:rsidRDefault="00C1588F" w:rsidP="003031BE">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 xml:space="preserve">Međutim, postavlja se pitanje da li su ove mjere dovoljne. Iskustva zemalja članica EU pokazuju da je za stvarno suzbijanje koluzije potrebno ići korak dalje, kroz uvođenje </w:t>
            </w:r>
            <w:r w:rsidRPr="001B04CD">
              <w:rPr>
                <w:rFonts w:ascii="Times New Roman" w:eastAsia="Times New Roman" w:hAnsi="Times New Roman" w:cs="Times New Roman"/>
                <w:sz w:val="24"/>
                <w:szCs w:val="24"/>
              </w:rPr>
              <w:lastRenderedPageBreak/>
              <w:t>obaveznih instrumenata za detekciju sumnjivih obrazaca u ponudama, bolju saradnju nadležnih institucija, edukaciju službenika i dosljednu primjenu pravila o isključenju ponuđača. Na taj način bi se spriječilo da sankcije ostaju mrtvo slovo na papiru i omogućilo da se tržišna konkurencija štiti pravovremeno i efikasno.</w:t>
            </w:r>
          </w:p>
          <w:p w14:paraId="4142524A" w14:textId="77777777" w:rsidR="00810D27" w:rsidRPr="001B04CD" w:rsidRDefault="00810D27" w:rsidP="00CE273A">
            <w:pPr>
              <w:pStyle w:val="Heading3"/>
              <w:jc w:val="both"/>
              <w:rPr>
                <w:sz w:val="24"/>
                <w:szCs w:val="24"/>
                <w:lang w:val="bs-Latn-BA"/>
              </w:rPr>
            </w:pPr>
            <w:r w:rsidRPr="001B04CD">
              <w:rPr>
                <w:sz w:val="24"/>
                <w:szCs w:val="24"/>
                <w:lang w:val="bs-Latn-BA"/>
              </w:rPr>
              <w:t>Zelene i društveno odgovorne nabavke</w:t>
            </w:r>
          </w:p>
          <w:p w14:paraId="285BC8E3" w14:textId="77777777" w:rsidR="00585BA5" w:rsidRPr="001B04CD" w:rsidRDefault="00585BA5" w:rsidP="00585BA5">
            <w:pPr>
              <w:pStyle w:val="NormalWeb"/>
              <w:jc w:val="both"/>
              <w:rPr>
                <w:lang w:val="bs-Latn-BA"/>
              </w:rPr>
            </w:pPr>
            <w:r w:rsidRPr="001B04CD">
              <w:rPr>
                <w:lang w:val="bs-Latn-BA"/>
              </w:rPr>
              <w:t>U važećem Zakonu o javnim nabavkama već su predviđene mogućnosti upotrebe ekoloških oznaka i uvođenja ekoloških ili drugih zahtjeva u tehničke specifikacije predmeta nabavke. Tako, Zakon dopušta ugovornom organu da se u opisu predmeta poziva na ekološke oznake kvaliteta pod uslovima da su relevantne, znanstveno utemeljene, izrađene u inkluzivnom postupku i dostupne svim zainteresiranim stranama. Ugovorni organ također može pretpostaviti da roba označena određenom ekološkom oznakom zadovoljava tehničke zahtjeve. Pored toga, zakon eksplicitno dopušta uzimanje u obzir faktora životnog vijeka (trošak životnog vijeka) kao elementa kriterija za dodjelu ugovora.</w:t>
            </w:r>
          </w:p>
          <w:p w14:paraId="6436646F" w14:textId="77777777" w:rsidR="00585BA5" w:rsidRPr="001B04CD" w:rsidRDefault="00585BA5" w:rsidP="00585BA5">
            <w:pPr>
              <w:pStyle w:val="NormalWeb"/>
              <w:jc w:val="both"/>
              <w:rPr>
                <w:lang w:val="bs-Latn-BA"/>
              </w:rPr>
            </w:pPr>
            <w:r w:rsidRPr="001B04CD">
              <w:rPr>
                <w:lang w:val="bs-Latn-BA"/>
              </w:rPr>
              <w:t>Ipak, u praksi u Bosni i Hercegovini primjena zelenih i društveno odgovornih kriterija u postupcima javnih nabavki je vrlo ograničena. Postojeći problemi su višestruki: ugovorni organi rijetko koriste mogućnosti koje zakon formalno daje; ne postoje ujednačene smjernice niti metodologije za primjenu ekoloških kriterija ili troška životnog vijeka; informacije i alati potrebni ponuđačima (i ugovornim organima) za izračunavanje LCC (life-cycle cost) i dokazivanje ekoloških karakteristika često nedostaju; u informacionom sistemu (e-Nabavke / Portal JN) ne postoji standardizirana evidencija „zelenih“ nabavki niti označavanje predmeta po zelenim kriterijima; kapaciteti službenika za javne nabavke u pogledu ekoloških kriterija, procjene troška životnog vijeka i verifikacije ekvivalentnosti su slabi; i konačno — tržište lokalnih dobavljača često nema dovoljan broj proizvoda/usluga s certificiranim ekološkim oznakama (ili znaju kako dokazati ekvivalentnost), pa se ugovorni organi boje da će ograničiti konkurenciju ako previše insistiraju na oznakama.</w:t>
            </w:r>
          </w:p>
          <w:p w14:paraId="15B7EA77" w14:textId="77777777" w:rsidR="00585BA5" w:rsidRPr="001B04CD" w:rsidRDefault="00585BA5" w:rsidP="00585BA5">
            <w:pPr>
              <w:pStyle w:val="NormalWeb"/>
              <w:jc w:val="both"/>
              <w:rPr>
                <w:lang w:val="bs-Latn-BA"/>
              </w:rPr>
            </w:pPr>
            <w:r w:rsidRPr="001B04CD">
              <w:rPr>
                <w:lang w:val="bs-Latn-BA"/>
              </w:rPr>
              <w:t>Posljedica je da se potencijal javnih nabavki kao instrumenta politike održivog razvoja ne koristi. To dovodi do propuštenih prilika: veće energetske potrošnje i troškova u eksploataciji, veći okolišni i zdravstveni teret, manje potražnje za zelenom ponudom koja bi podstakla lokalne investicije u ekološke tehnologije, te nedovoljna usklađenost sa EU praksama i obavezama vezanim za Agendu 2030 i Zeleni dogovor.</w:t>
            </w:r>
          </w:p>
          <w:p w14:paraId="4BAA9F89" w14:textId="77777777" w:rsidR="00810D27" w:rsidRPr="001B04CD" w:rsidRDefault="00810D27" w:rsidP="00CE273A">
            <w:pPr>
              <w:pStyle w:val="Heading3"/>
              <w:jc w:val="both"/>
              <w:rPr>
                <w:bCs w:val="0"/>
                <w:sz w:val="24"/>
                <w:szCs w:val="24"/>
                <w:lang w:val="bs-Latn-BA"/>
              </w:rPr>
            </w:pPr>
            <w:r w:rsidRPr="001B04CD">
              <w:rPr>
                <w:bCs w:val="0"/>
                <w:sz w:val="24"/>
                <w:szCs w:val="24"/>
                <w:lang w:val="bs-Latn-BA"/>
              </w:rPr>
              <w:t>Digitalizacija i e-Nabavke</w:t>
            </w:r>
          </w:p>
          <w:p w14:paraId="6BB72F79" w14:textId="77777777" w:rsidR="003B3636" w:rsidRPr="001B04CD" w:rsidRDefault="003B3636" w:rsidP="00CE273A">
            <w:pPr>
              <w:pStyle w:val="Heading3"/>
              <w:jc w:val="both"/>
              <w:rPr>
                <w:b w:val="0"/>
                <w:sz w:val="24"/>
                <w:szCs w:val="24"/>
                <w:lang w:val="bs-Latn-BA"/>
              </w:rPr>
            </w:pPr>
            <w:r w:rsidRPr="001B04CD">
              <w:rPr>
                <w:b w:val="0"/>
                <w:sz w:val="24"/>
                <w:szCs w:val="24"/>
                <w:lang w:val="bs-Latn-BA"/>
              </w:rPr>
              <w:t>Trenutni informacioni sistem e-Nabavke omogućava osnovnu objavu postupaka (planovi nabavki, obavještenja, određene faze komunikacije, e-aukcije u realnom vremenu, osnovni elementi ugovora). Međutim, sistem ne podržava puni digitalni ciklus. Veći dio procesa i dalje se odvija izvan sistema, kroz manuelnu obradu i fizičku dokumentaciju, što povećava administrativni teret, rizik od grešaka i usporava postupke.</w:t>
            </w:r>
            <w:r w:rsidRPr="001B04CD">
              <w:rPr>
                <w:b w:val="0"/>
                <w:sz w:val="24"/>
                <w:szCs w:val="24"/>
                <w:lang w:val="bs-Latn-BA"/>
              </w:rPr>
              <w:br/>
              <w:t>Ključni nedostaci: nedostatak e-podnošenja i enkripcije ponuda, nepostojanje funkcionalnosti za e-otvaranje, evaluacija se vodi van sistema, odluke i ugovori nisu digitalizovani, nedostaje modul za e-žalbe, nema integracije s registrima za provjere, niti alata za napredno izvještavanje i analitiku.</w:t>
            </w:r>
            <w:r w:rsidRPr="001B04CD">
              <w:rPr>
                <w:b w:val="0"/>
                <w:sz w:val="24"/>
                <w:szCs w:val="24"/>
                <w:lang w:val="bs-Latn-BA"/>
              </w:rPr>
              <w:br/>
              <w:t xml:space="preserve">Posljedice su produženi rokovi, povećani troškovi, veći prostor za proceduralne greške, smanjena transparentnost i smanjena konkurencija (posebno za MSP). Trenutno stanje je </w:t>
            </w:r>
            <w:r w:rsidRPr="001B04CD">
              <w:rPr>
                <w:b w:val="0"/>
                <w:sz w:val="24"/>
                <w:szCs w:val="24"/>
                <w:lang w:val="bs-Latn-BA"/>
              </w:rPr>
              <w:lastRenderedPageBreak/>
              <w:t>djelimično digitalizovano, ali daleko od EU standarda (Direktive 2014/24/EU i 2014/25/EU).</w:t>
            </w:r>
            <w:r w:rsidR="00810D27" w:rsidRPr="001B04CD">
              <w:rPr>
                <w:b w:val="0"/>
                <w:sz w:val="24"/>
                <w:szCs w:val="24"/>
                <w:lang w:val="bs-Latn-BA"/>
              </w:rPr>
              <w:t xml:space="preserve">4. </w:t>
            </w:r>
          </w:p>
          <w:p w14:paraId="6DA51397" w14:textId="77777777" w:rsidR="00810D27" w:rsidRPr="001B04CD" w:rsidRDefault="00810D27" w:rsidP="00CE273A">
            <w:pPr>
              <w:pStyle w:val="Heading3"/>
              <w:jc w:val="both"/>
              <w:rPr>
                <w:bCs w:val="0"/>
                <w:sz w:val="24"/>
                <w:szCs w:val="24"/>
                <w:lang w:val="bs-Latn-BA"/>
              </w:rPr>
            </w:pPr>
            <w:r w:rsidRPr="001B04CD">
              <w:rPr>
                <w:bCs w:val="0"/>
                <w:sz w:val="24"/>
                <w:szCs w:val="24"/>
                <w:lang w:val="bs-Latn-BA"/>
              </w:rPr>
              <w:t>Institucionalni i administrativni kapaciteti</w:t>
            </w:r>
          </w:p>
          <w:p w14:paraId="7C1DA372" w14:textId="77777777" w:rsidR="00F5341C" w:rsidRPr="001B04CD" w:rsidRDefault="00F5341C" w:rsidP="00CE273A">
            <w:pPr>
              <w:pStyle w:val="Heading3"/>
              <w:jc w:val="both"/>
              <w:rPr>
                <w:rFonts w:eastAsiaTheme="majorEastAsia"/>
                <w:b w:val="0"/>
                <w:sz w:val="24"/>
                <w:szCs w:val="24"/>
                <w:lang w:val="bs-Latn-BA"/>
              </w:rPr>
            </w:pPr>
            <w:r w:rsidRPr="001B04CD">
              <w:rPr>
                <w:rFonts w:eastAsiaTheme="majorEastAsia"/>
                <w:b w:val="0"/>
                <w:sz w:val="24"/>
                <w:szCs w:val="24"/>
                <w:lang w:val="bs-Latn-BA"/>
              </w:rPr>
              <w:t>Efikasan sistem javnih nabavki zahtijeva stabilan institucionalni okvir i stručne kadrove sposobne da pravilno primjenjuju zakon, tumače kompleksne situacije i donose odluke koje minimiziraju rizik od grešaka i korupcije.</w:t>
            </w:r>
            <w:r w:rsidRPr="001B04CD">
              <w:rPr>
                <w:rFonts w:eastAsiaTheme="majorEastAsia"/>
                <w:b w:val="0"/>
                <w:sz w:val="24"/>
                <w:szCs w:val="24"/>
                <w:lang w:val="bs-Latn-BA"/>
              </w:rPr>
              <w:br/>
              <w:t>U praksi Bosne i Hercegovine, brojni ugovorni organi – posebno oni na lokalnom nivou – raspolažu ograničenim administrativnim i tehničkim kapacitetima. Službenici često obavljaju poslove nabavki uz druge zadatke, bez kontinuiranih obuka i bez formalno priznatih kvalifikacija u ovoj oblasti.</w:t>
            </w:r>
            <w:r w:rsidRPr="001B04CD">
              <w:rPr>
                <w:rFonts w:eastAsiaTheme="majorEastAsia"/>
                <w:b w:val="0"/>
                <w:sz w:val="24"/>
                <w:szCs w:val="24"/>
                <w:lang w:val="bs-Latn-BA"/>
              </w:rPr>
              <w:br/>
              <w:t>Sličan izazov postoji i na nivou institucija nadležnih za nadzor i podršku sistemu, prije svega Agencije za javne nabavke BiH i Ureda za razmatranje žalbi, čiji kapaciteti nisu proporcionalni rastu obima i složenosti sistema.</w:t>
            </w:r>
          </w:p>
          <w:p w14:paraId="0654E8D4" w14:textId="00A2AEEE" w:rsidR="00810D27" w:rsidRPr="001B04CD" w:rsidRDefault="00810D27" w:rsidP="00CE273A">
            <w:pPr>
              <w:pStyle w:val="Heading3"/>
              <w:jc w:val="both"/>
              <w:rPr>
                <w:bCs w:val="0"/>
                <w:sz w:val="24"/>
                <w:szCs w:val="24"/>
                <w:lang w:val="bs-Latn-BA"/>
              </w:rPr>
            </w:pPr>
            <w:r w:rsidRPr="001B04CD">
              <w:rPr>
                <w:bCs w:val="0"/>
                <w:sz w:val="24"/>
                <w:szCs w:val="24"/>
                <w:lang w:val="bs-Latn-BA"/>
              </w:rPr>
              <w:t>Pristup malih i srednjih preduzeća (MSP) i inovacije</w:t>
            </w:r>
          </w:p>
          <w:p w14:paraId="78483AF9" w14:textId="77777777" w:rsidR="00F5341C" w:rsidRPr="001B04CD" w:rsidRDefault="00F5341C" w:rsidP="00CE273A">
            <w:pPr>
              <w:pStyle w:val="Heading3"/>
              <w:jc w:val="both"/>
              <w:rPr>
                <w:rFonts w:eastAsiaTheme="majorEastAsia"/>
                <w:b w:val="0"/>
                <w:sz w:val="24"/>
                <w:szCs w:val="24"/>
                <w:lang w:val="bs-Latn-BA"/>
              </w:rPr>
            </w:pPr>
            <w:r w:rsidRPr="001B04CD">
              <w:rPr>
                <w:rFonts w:eastAsiaTheme="majorEastAsia"/>
                <w:b w:val="0"/>
                <w:sz w:val="24"/>
                <w:szCs w:val="24"/>
                <w:lang w:val="bs-Latn-BA"/>
              </w:rPr>
              <w:t>Mala i srednja preduzeća (MSP) predstavljaju okosnicu privrede Bosne i Hercegovine, čineći preko 99% ukupnog broja poslovnih subjekata i zapošljavajući većinu radne snage. Uprkos tome, njihovo učešće u sistemu javnih nabavki ostaje ograničeno.</w:t>
            </w:r>
            <w:r w:rsidRPr="001B04CD">
              <w:rPr>
                <w:rFonts w:eastAsiaTheme="majorEastAsia"/>
                <w:b w:val="0"/>
                <w:sz w:val="24"/>
                <w:szCs w:val="24"/>
                <w:lang w:val="bs-Latn-BA"/>
              </w:rPr>
              <w:br/>
              <w:t>Glavni razlozi leže u složenosti tenderske dokumentacije, neproporcionalnim tehničkim i finansijskim zahtjevima, nedostatku informacija o mogućnostima učešća i ograničenom kapacitetu za pripremu ponuda.</w:t>
            </w:r>
            <w:r w:rsidRPr="001B04CD">
              <w:rPr>
                <w:rFonts w:eastAsiaTheme="majorEastAsia"/>
                <w:b w:val="0"/>
                <w:sz w:val="24"/>
                <w:szCs w:val="24"/>
                <w:lang w:val="bs-Latn-BA"/>
              </w:rPr>
              <w:br/>
              <w:t xml:space="preserve">Pored toga, sistem javnih nabavki u BiH do sada nije omogućavao inovativne oblike partnerstva između javnog i privatnog sektora, čime se propušta značajan potencijal za razvoj novih proizvoda i usluga. Uvođenjem </w:t>
            </w:r>
            <w:r w:rsidRPr="001B04CD">
              <w:rPr>
                <w:rFonts w:eastAsiaTheme="majorEastAsia"/>
                <w:b w:val="0"/>
                <w:i/>
                <w:iCs/>
                <w:sz w:val="24"/>
                <w:szCs w:val="24"/>
                <w:lang w:val="bs-Latn-BA"/>
              </w:rPr>
              <w:t>Partnerstva za inovacije</w:t>
            </w:r>
            <w:r w:rsidRPr="001B04CD">
              <w:rPr>
                <w:rFonts w:eastAsiaTheme="majorEastAsia"/>
                <w:b w:val="0"/>
                <w:sz w:val="24"/>
                <w:szCs w:val="24"/>
                <w:lang w:val="bs-Latn-BA"/>
              </w:rPr>
              <w:t xml:space="preserve"> u novi Zakon o javnim nabavkama, otvara se prostor za modernizaciju tržišta i stimulaciju tehnološkog razvoja.</w:t>
            </w:r>
          </w:p>
          <w:p w14:paraId="2C9E0D2D" w14:textId="611B8849" w:rsidR="00810D27" w:rsidRPr="001B04CD" w:rsidRDefault="00810D27" w:rsidP="00CE273A">
            <w:pPr>
              <w:pStyle w:val="Heading3"/>
              <w:jc w:val="both"/>
              <w:rPr>
                <w:bCs w:val="0"/>
                <w:sz w:val="24"/>
                <w:szCs w:val="24"/>
                <w:lang w:val="bs-Latn-BA"/>
              </w:rPr>
            </w:pPr>
            <w:r w:rsidRPr="001B04CD">
              <w:rPr>
                <w:bCs w:val="0"/>
                <w:sz w:val="24"/>
                <w:szCs w:val="24"/>
                <w:lang w:val="bs-Latn-BA"/>
              </w:rPr>
              <w:t>Rezervisani ugovori i socijalna inkluzija</w:t>
            </w:r>
          </w:p>
          <w:p w14:paraId="466C469F" w14:textId="77777777" w:rsidR="00792194" w:rsidRPr="001B04CD" w:rsidRDefault="00792194" w:rsidP="00792194">
            <w:pPr>
              <w:pStyle w:val="NormalWeb"/>
              <w:rPr>
                <w:lang w:val="bs-Latn-BA"/>
              </w:rPr>
            </w:pPr>
            <w:r w:rsidRPr="001B04CD">
              <w:rPr>
                <w:lang w:val="bs-Latn-BA"/>
              </w:rPr>
              <w:t>Javne nabavke predstavljaju značajan instrument ekonomske politike, ali sve više dobijaju i socijalnu dimenziju. Međutim, iako Zakon o javnim nabavkama već prepoznaje mogućnost uključivanja socijalnih kriterija, praksa pokazuje da se ti instrumenti koriste rijetko i nedosljedno. Ugovorni organi nemaju dovoljno smjernica niti alata da primijene rezervisane ugovore ili kriterije zapošljavanja ranjivih grupa, dok je kod službenika i dalje prisutan strah da bi to moglo ograničiti konkurenciju. Rezultat je propuštanje prilike da javne nabavke budu poluga za socijalnu inkluziju, rodnu ravnopravnost i zapošljavanje marginalizovanih kategorija.</w:t>
            </w:r>
          </w:p>
          <w:p w14:paraId="42DE2258" w14:textId="0B7830ED" w:rsidR="00810D27" w:rsidRPr="001B04CD" w:rsidRDefault="00810D27" w:rsidP="00CE273A">
            <w:pPr>
              <w:pStyle w:val="Heading3"/>
              <w:jc w:val="both"/>
              <w:rPr>
                <w:bCs w:val="0"/>
                <w:sz w:val="24"/>
                <w:szCs w:val="24"/>
                <w:lang w:val="bs-Latn-BA"/>
              </w:rPr>
            </w:pPr>
            <w:r w:rsidRPr="001B04CD">
              <w:rPr>
                <w:bCs w:val="0"/>
                <w:sz w:val="24"/>
                <w:szCs w:val="24"/>
                <w:lang w:val="bs-Latn-BA"/>
              </w:rPr>
              <w:t>Praćenje postupaka javnih nabavki i transparentnost</w:t>
            </w:r>
          </w:p>
          <w:p w14:paraId="6415506C" w14:textId="77777777" w:rsidR="00EB174C" w:rsidRPr="001B04CD" w:rsidRDefault="00F5341C" w:rsidP="00CE273A">
            <w:pPr>
              <w:pStyle w:val="Heading3"/>
              <w:jc w:val="both"/>
              <w:rPr>
                <w:b w:val="0"/>
                <w:sz w:val="24"/>
                <w:szCs w:val="24"/>
                <w:lang w:val="bs-Latn-BA"/>
              </w:rPr>
            </w:pPr>
            <w:r w:rsidRPr="001B04CD">
              <w:rPr>
                <w:rFonts w:eastAsiaTheme="majorEastAsia"/>
                <w:b w:val="0"/>
                <w:sz w:val="24"/>
                <w:szCs w:val="24"/>
                <w:lang w:val="bs-Latn-BA"/>
              </w:rPr>
              <w:t xml:space="preserve">Transparentnost i praćenje postupaka javnih nabavki predstavljaju temeljne garancije integriteta sistema. U Bosni i Hercegovini, iako je u prethodnom periodu postignut napredak kroz objavu osnovnih podataka u informacionom sistemu e-Nabavke, postoje značajna ograničenja u pogledu dostupnosti cjelovitih informacija, analitičke obrade i javnog uvida u realizaciju ugovora. Nedostatak sistemskog praćenja rezultata, kao i ograničeni institucionalni kapaciteti Agencije za javne nabavke BiH (AJN) i drugih nadzornih tijela, otežavaju blagovremeno otkrivanje nepravilnosti i povećavaju rizik od korupcije i nepotizma. Povjerenje javnosti u sistem javnih nabavki i dalje je na niskom nivou, što se </w:t>
            </w:r>
            <w:r w:rsidRPr="001B04CD">
              <w:rPr>
                <w:rFonts w:eastAsiaTheme="majorEastAsia"/>
                <w:b w:val="0"/>
                <w:sz w:val="24"/>
                <w:szCs w:val="24"/>
                <w:lang w:val="bs-Latn-BA"/>
              </w:rPr>
              <w:lastRenderedPageBreak/>
              <w:t>potvrđuje i u nalazima međunarodnih izvještaja (SIGMA, Transparency International, Evropska komisija).</w:t>
            </w:r>
            <w:r w:rsidRPr="001B04CD">
              <w:rPr>
                <w:rFonts w:eastAsiaTheme="majorEastAsia"/>
                <w:sz w:val="24"/>
                <w:szCs w:val="24"/>
                <w:lang w:val="bs-Latn-BA"/>
              </w:rPr>
              <w:t xml:space="preserve"> </w:t>
            </w:r>
          </w:p>
          <w:p w14:paraId="198F84A3" w14:textId="0906C737" w:rsidR="00810D27" w:rsidRPr="001B04CD" w:rsidRDefault="00810D27" w:rsidP="00CE273A">
            <w:pPr>
              <w:pStyle w:val="Heading3"/>
              <w:jc w:val="both"/>
              <w:rPr>
                <w:bCs w:val="0"/>
                <w:sz w:val="24"/>
                <w:szCs w:val="24"/>
                <w:lang w:val="bs-Latn-BA"/>
              </w:rPr>
            </w:pPr>
            <w:r w:rsidRPr="001B04CD">
              <w:rPr>
                <w:bCs w:val="0"/>
                <w:sz w:val="24"/>
                <w:szCs w:val="24"/>
                <w:lang w:val="bs-Latn-BA"/>
              </w:rPr>
              <w:t>Žalbeni postupci</w:t>
            </w:r>
          </w:p>
          <w:p w14:paraId="6134BFDB" w14:textId="08FCFC9C" w:rsidR="00EB174C" w:rsidRPr="001B04CD" w:rsidRDefault="00EB174C" w:rsidP="00CE273A">
            <w:pPr>
              <w:pStyle w:val="Heading3"/>
              <w:jc w:val="both"/>
              <w:rPr>
                <w:b w:val="0"/>
                <w:sz w:val="24"/>
                <w:szCs w:val="24"/>
                <w:lang w:val="bs-Latn-BA"/>
              </w:rPr>
            </w:pPr>
            <w:r w:rsidRPr="001B04CD">
              <w:rPr>
                <w:b w:val="0"/>
                <w:sz w:val="24"/>
                <w:szCs w:val="24"/>
                <w:lang w:val="bs-Latn-BA"/>
              </w:rPr>
              <w:t>Efikasan i nepristrasan žalbeni sistem temeljni je mehanizam za zaštitu prava učesnika u postupku javne nabavke i garancija poštene tržišne utakmice. Iako su u BiH u prethodnim godinama učinjeni određeni pomaci, sistem i dalje karakterišu predugi rokovi odlučivanja, veliki broj neosnovanih ili strateških žalbi te neujednačena praksa Ureda za razmatranje žalbi (URŽ).</w:t>
            </w:r>
            <w:r w:rsidRPr="001B04CD">
              <w:rPr>
                <w:b w:val="0"/>
                <w:sz w:val="24"/>
                <w:szCs w:val="24"/>
                <w:lang w:val="bs-Latn-BA"/>
              </w:rPr>
              <w:br/>
              <w:t>Ovakva situacija dovodi do zastoja u realizaciji projekata, povećanja troškova, gubitka povjerenja ponuđača i opterećenja administrativnih kapaciteta URŽ-a.</w:t>
            </w:r>
          </w:p>
          <w:p w14:paraId="3B2FC21E" w14:textId="20BB33B6" w:rsidR="00D705DA" w:rsidRPr="001B04CD" w:rsidRDefault="00D705DA" w:rsidP="00EB174C">
            <w:pPr>
              <w:pStyle w:val="NormalWeb"/>
              <w:spacing w:after="0"/>
              <w:ind w:left="720"/>
              <w:jc w:val="both"/>
              <w:rPr>
                <w:bCs/>
                <w:lang w:val="bs-Latn-BA"/>
              </w:rPr>
            </w:pPr>
          </w:p>
        </w:tc>
      </w:tr>
      <w:tr w:rsidR="00F92C68" w:rsidRPr="001B04CD" w14:paraId="5777806F" w14:textId="77777777" w:rsidTr="00EF61B4">
        <w:trPr>
          <w:trHeight w:val="250"/>
        </w:trPr>
        <w:tc>
          <w:tcPr>
            <w:tcW w:w="0" w:type="auto"/>
            <w:gridSpan w:val="2"/>
            <w:tcBorders>
              <w:top w:val="single" w:sz="8" w:space="0" w:color="4F81BD"/>
              <w:left w:val="single" w:sz="8" w:space="0" w:color="4F81BD"/>
              <w:bottom w:val="single" w:sz="8" w:space="0" w:color="4F81BD"/>
              <w:right w:val="single" w:sz="8" w:space="0" w:color="4F81BD"/>
            </w:tcBorders>
          </w:tcPr>
          <w:p w14:paraId="7D5EE165" w14:textId="77777777" w:rsidR="00810D27" w:rsidRPr="001B04CD" w:rsidRDefault="00F92C68" w:rsidP="000A6C6A">
            <w:pPr>
              <w:spacing w:after="0" w:line="240" w:lineRule="auto"/>
              <w:rPr>
                <w:rFonts w:ascii="Times New Roman" w:eastAsia="Times New Roman" w:hAnsi="Times New Roman" w:cs="Times New Roman"/>
                <w:b/>
                <w:bCs/>
                <w:sz w:val="24"/>
                <w:szCs w:val="24"/>
              </w:rPr>
            </w:pPr>
            <w:r w:rsidRPr="001B04CD">
              <w:rPr>
                <w:rFonts w:ascii="Times New Roman" w:eastAsia="Times New Roman" w:hAnsi="Times New Roman" w:cs="Times New Roman"/>
                <w:b/>
                <w:bCs/>
                <w:sz w:val="24"/>
                <w:szCs w:val="24"/>
              </w:rPr>
              <w:lastRenderedPageBreak/>
              <w:t>3. UTVRĐIVANJE CILJEVA</w:t>
            </w:r>
          </w:p>
          <w:p w14:paraId="3BF9E956" w14:textId="77777777" w:rsidR="000A6C6A" w:rsidRPr="001B04CD" w:rsidRDefault="000A6C6A" w:rsidP="00585BA5">
            <w:pPr>
              <w:pStyle w:val="Heading3"/>
              <w:jc w:val="both"/>
              <w:rPr>
                <w:sz w:val="24"/>
                <w:szCs w:val="24"/>
                <w:lang w:val="bs-Latn-BA"/>
              </w:rPr>
            </w:pPr>
            <w:r w:rsidRPr="001B04CD">
              <w:rPr>
                <w:sz w:val="24"/>
                <w:szCs w:val="24"/>
                <w:lang w:val="bs-Latn-BA"/>
              </w:rPr>
              <w:t>Koluzija i ograničena konkurencija</w:t>
            </w:r>
          </w:p>
          <w:p w14:paraId="7D7955A4" w14:textId="77777777" w:rsidR="000A6C6A" w:rsidRPr="001B04CD" w:rsidRDefault="000A6C6A" w:rsidP="000A6C6A">
            <w:pPr>
              <w:pStyle w:val="Heading3"/>
              <w:jc w:val="both"/>
              <w:rPr>
                <w:b w:val="0"/>
                <w:sz w:val="24"/>
                <w:szCs w:val="24"/>
                <w:lang w:val="bs-Latn-BA"/>
              </w:rPr>
            </w:pPr>
            <w:r w:rsidRPr="001B04CD">
              <w:rPr>
                <w:b w:val="0"/>
                <w:sz w:val="24"/>
                <w:szCs w:val="24"/>
                <w:lang w:val="bs-Latn-BA"/>
              </w:rPr>
              <w:t>Novi zakon treba da osigura efikasniju zaštitu tržišne konkurencije i da spriječi koluzivne dogovore među ponuđačima. Ključni cilj je uspostaviti sistem koji omogućava pravovremenu detekciju sumnjivih obrazaca i reagovanje prije nego što postupak nabavke bude okončan. Time se štiti javni interes, osigurava efikasno korištenje budžetskih sredstava i podstiče veća konkurencija na tržištu. Poseban cilj je i jačanje povjerenja učesnika i građana u javne nabavke, kroz pokazivanje da se nepravilnosti ne tolerišu i da postoje posljedice za one koji narušavaju tržišnu utakmicu.</w:t>
            </w:r>
          </w:p>
          <w:p w14:paraId="32D766C5" w14:textId="77777777" w:rsidR="00FC410C" w:rsidRPr="001B04CD" w:rsidRDefault="00FC410C" w:rsidP="00FC410C">
            <w:pPr>
              <w:pStyle w:val="Heading3"/>
              <w:jc w:val="both"/>
              <w:rPr>
                <w:sz w:val="24"/>
                <w:szCs w:val="24"/>
                <w:lang w:val="bs-Latn-BA"/>
              </w:rPr>
            </w:pPr>
            <w:r w:rsidRPr="001B04CD">
              <w:rPr>
                <w:sz w:val="24"/>
                <w:szCs w:val="24"/>
                <w:lang w:val="bs-Latn-BA"/>
              </w:rPr>
              <w:t>Zelene i društveno odgovorne nabavke</w:t>
            </w:r>
          </w:p>
          <w:p w14:paraId="0C8E6684" w14:textId="77777777" w:rsidR="000D531F" w:rsidRPr="001B04CD" w:rsidRDefault="006C0E76" w:rsidP="006C0E7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C</w:t>
            </w:r>
            <w:r w:rsidR="000D531F" w:rsidRPr="001B04CD">
              <w:rPr>
                <w:rFonts w:ascii="Times New Roman" w:eastAsia="Times New Roman" w:hAnsi="Times New Roman" w:cs="Times New Roman"/>
                <w:sz w:val="24"/>
                <w:szCs w:val="24"/>
              </w:rPr>
              <w:t>ilj reforme u području zelenih javnih nabavki je da javna potrošnja postane strateški instrument za postizanje okolišnih i socijalnih politika: smanjenje emisija stakleničkih gasova, povećanje energetske efikasnosti, podrška kružnoj ekonomiji (recikliranje, dizajn za recikliranje), poticanje tržišta za ekološke proizvode i usluge, te unapređenje socijalne odgovornosti (npr. fer radni uvjeti u lancu nabave). Konkretno, cilj je povećati udio javnih nabavki koje sadrže ekološke ili društvene kriterije, osigurati dosljednu i objektivnu primjenu troška životnog vijeka kod velikih ili rizičnih nabavki, i stvoriti okruženje u kojem ponuđači — uključujući MSP i socijalne zadruge — mogu konkurisati s ponudama koje imaju pozitivne okolišne i socijalne karakteristike.</w:t>
            </w:r>
          </w:p>
          <w:p w14:paraId="4DFF8C5A" w14:textId="77777777" w:rsidR="000A6C6A" w:rsidRPr="001B04CD" w:rsidRDefault="000D531F" w:rsidP="0038084E">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Drugi cilj je institucionalno osnažiti ugovorne organe i Agenciju za javne nabavke da dosljedno primjenjuju pravila (smjernice, šabloni, alati), te uspostaviti mehanizme provjere i verifikacije ekoloških tvrdnji (npr. prihvatanje priznatih eko-oznaka ili procedura za ekvivalentnost). Krajnji cilj je postići da javne nabavke u određenim prioritetnim kategorijama (npr. vozila, energetska obnova zgrada, uredska oprema, rasvjeta) generiraju mjerljive uštede troška životnog vijeka i smanjenje negativnih okolišnih uticaja.</w:t>
            </w:r>
          </w:p>
          <w:p w14:paraId="5FB82D96" w14:textId="77777777" w:rsidR="003B3636" w:rsidRPr="001B04CD" w:rsidRDefault="003B3636" w:rsidP="003B3636">
            <w:pPr>
              <w:pStyle w:val="Heading3"/>
              <w:jc w:val="both"/>
              <w:rPr>
                <w:bCs w:val="0"/>
                <w:sz w:val="24"/>
                <w:szCs w:val="24"/>
                <w:lang w:val="bs-Latn-BA"/>
              </w:rPr>
            </w:pPr>
            <w:r w:rsidRPr="001B04CD">
              <w:rPr>
                <w:bCs w:val="0"/>
                <w:sz w:val="24"/>
                <w:szCs w:val="24"/>
                <w:lang w:val="bs-Latn-BA"/>
              </w:rPr>
              <w:t>Digitalizacija i e-Nabavke</w:t>
            </w:r>
          </w:p>
          <w:p w14:paraId="37B9CBFA" w14:textId="77777777" w:rsidR="00A42474" w:rsidRPr="001B04CD" w:rsidRDefault="00A42474" w:rsidP="00A42474">
            <w:pPr>
              <w:pStyle w:val="NormalWeb"/>
              <w:rPr>
                <w:lang w:val="bs-Latn-BA"/>
              </w:rPr>
            </w:pPr>
            <w:r w:rsidRPr="001B04CD">
              <w:rPr>
                <w:lang w:val="bs-Latn-BA"/>
              </w:rPr>
              <w:t>Strateški cilj: uspostava potpuno digitalizovanog, interoperabilnog i transparentnog sistema e-Nabavke koji obuhvata sve faze postupka.</w:t>
            </w:r>
            <w:r w:rsidRPr="001B04CD">
              <w:rPr>
                <w:lang w:val="bs-Latn-BA"/>
              </w:rPr>
              <w:br/>
              <w:t>Specifični ciljevi:</w:t>
            </w:r>
          </w:p>
          <w:p w14:paraId="6DD312A7" w14:textId="77777777" w:rsidR="00A42474" w:rsidRPr="001B04CD" w:rsidRDefault="00A42474" w:rsidP="00A42474">
            <w:pPr>
              <w:pStyle w:val="NormalWeb"/>
              <w:numPr>
                <w:ilvl w:val="0"/>
                <w:numId w:val="16"/>
              </w:numPr>
              <w:rPr>
                <w:lang w:val="bs-Latn-BA"/>
              </w:rPr>
            </w:pPr>
            <w:r w:rsidRPr="001B04CD">
              <w:rPr>
                <w:lang w:val="bs-Latn-BA"/>
              </w:rPr>
              <w:lastRenderedPageBreak/>
              <w:t>e-podnošenje ponuda sa sigurnom enkripcijom i validacijom dokumenata;</w:t>
            </w:r>
          </w:p>
          <w:p w14:paraId="557F92E4" w14:textId="77777777" w:rsidR="00A42474" w:rsidRPr="001B04CD" w:rsidRDefault="00A42474" w:rsidP="00A42474">
            <w:pPr>
              <w:pStyle w:val="NormalWeb"/>
              <w:numPr>
                <w:ilvl w:val="0"/>
                <w:numId w:val="16"/>
              </w:numPr>
              <w:rPr>
                <w:lang w:val="bs-Latn-BA"/>
              </w:rPr>
            </w:pPr>
            <w:r w:rsidRPr="001B04CD">
              <w:rPr>
                <w:lang w:val="bs-Latn-BA"/>
              </w:rPr>
              <w:t>e-otvaranje sa automatskim zapisnicima;</w:t>
            </w:r>
          </w:p>
          <w:p w14:paraId="1A332958" w14:textId="77777777" w:rsidR="00A42474" w:rsidRPr="001B04CD" w:rsidRDefault="00A42474" w:rsidP="00A42474">
            <w:pPr>
              <w:pStyle w:val="NormalWeb"/>
              <w:numPr>
                <w:ilvl w:val="0"/>
                <w:numId w:val="16"/>
              </w:numPr>
              <w:rPr>
                <w:lang w:val="bs-Latn-BA"/>
              </w:rPr>
            </w:pPr>
            <w:r w:rsidRPr="001B04CD">
              <w:rPr>
                <w:lang w:val="bs-Latn-BA"/>
              </w:rPr>
              <w:t>e-evaluacija sa online radom komisija;</w:t>
            </w:r>
          </w:p>
          <w:p w14:paraId="37C5D9C1" w14:textId="77777777" w:rsidR="00A42474" w:rsidRPr="001B04CD" w:rsidRDefault="00A42474" w:rsidP="00A42474">
            <w:pPr>
              <w:pStyle w:val="NormalWeb"/>
              <w:numPr>
                <w:ilvl w:val="0"/>
                <w:numId w:val="16"/>
              </w:numPr>
              <w:rPr>
                <w:lang w:val="bs-Latn-BA"/>
              </w:rPr>
            </w:pPr>
            <w:r w:rsidRPr="001B04CD">
              <w:rPr>
                <w:lang w:val="bs-Latn-BA"/>
              </w:rPr>
              <w:t>digitalizacija dodjele i ugovaranja, uključujući objavu odluka i ugovora;</w:t>
            </w:r>
          </w:p>
          <w:p w14:paraId="3C3F9136" w14:textId="77777777" w:rsidR="00A42474" w:rsidRPr="001B04CD" w:rsidRDefault="00A42474" w:rsidP="00A42474">
            <w:pPr>
              <w:pStyle w:val="NormalWeb"/>
              <w:numPr>
                <w:ilvl w:val="0"/>
                <w:numId w:val="16"/>
              </w:numPr>
              <w:rPr>
                <w:lang w:val="bs-Latn-BA"/>
              </w:rPr>
            </w:pPr>
            <w:r w:rsidRPr="001B04CD">
              <w:rPr>
                <w:lang w:val="bs-Latn-BA"/>
              </w:rPr>
              <w:t>e-uvid u ponude;</w:t>
            </w:r>
          </w:p>
          <w:p w14:paraId="6DB2A51F" w14:textId="77777777" w:rsidR="00A42474" w:rsidRPr="001B04CD" w:rsidRDefault="00A42474" w:rsidP="00A42474">
            <w:pPr>
              <w:pStyle w:val="NormalWeb"/>
              <w:numPr>
                <w:ilvl w:val="0"/>
                <w:numId w:val="16"/>
              </w:numPr>
              <w:rPr>
                <w:lang w:val="bs-Latn-BA"/>
              </w:rPr>
            </w:pPr>
            <w:r w:rsidRPr="001B04CD">
              <w:rPr>
                <w:lang w:val="bs-Latn-BA"/>
              </w:rPr>
              <w:t>e-žalbe s automatskim obavještavanjem stranaka;</w:t>
            </w:r>
          </w:p>
          <w:p w14:paraId="797594AA" w14:textId="77777777" w:rsidR="00A42474" w:rsidRPr="001B04CD" w:rsidRDefault="00A42474" w:rsidP="00A42474">
            <w:pPr>
              <w:pStyle w:val="NormalWeb"/>
              <w:numPr>
                <w:ilvl w:val="0"/>
                <w:numId w:val="16"/>
              </w:numPr>
              <w:rPr>
                <w:lang w:val="bs-Latn-BA"/>
              </w:rPr>
            </w:pPr>
            <w:r w:rsidRPr="001B04CD">
              <w:rPr>
                <w:lang w:val="bs-Latn-BA"/>
              </w:rPr>
              <w:t>interoperabilnost s registrima i bazama podataka;</w:t>
            </w:r>
          </w:p>
          <w:p w14:paraId="2ED52815" w14:textId="77777777" w:rsidR="00A42474" w:rsidRPr="001B04CD" w:rsidRDefault="00A42474" w:rsidP="00A42474">
            <w:pPr>
              <w:pStyle w:val="NormalWeb"/>
              <w:numPr>
                <w:ilvl w:val="0"/>
                <w:numId w:val="16"/>
              </w:numPr>
              <w:rPr>
                <w:lang w:val="bs-Latn-BA"/>
              </w:rPr>
            </w:pPr>
            <w:r w:rsidRPr="001B04CD">
              <w:rPr>
                <w:lang w:val="bs-Latn-BA"/>
              </w:rPr>
              <w:t>modul za izvještavanje i analitiku radi praćenja indikatora i detekcije nepravilnosti.</w:t>
            </w:r>
          </w:p>
          <w:p w14:paraId="1B673129" w14:textId="77777777" w:rsidR="009047F1" w:rsidRPr="001B04CD" w:rsidRDefault="009047F1" w:rsidP="009047F1">
            <w:pPr>
              <w:pStyle w:val="Heading3"/>
              <w:jc w:val="both"/>
              <w:rPr>
                <w:bCs w:val="0"/>
                <w:sz w:val="24"/>
                <w:szCs w:val="24"/>
                <w:lang w:val="bs-Latn-BA"/>
              </w:rPr>
            </w:pPr>
            <w:r w:rsidRPr="001B04CD">
              <w:rPr>
                <w:bCs w:val="0"/>
                <w:sz w:val="24"/>
                <w:szCs w:val="24"/>
                <w:lang w:val="bs-Latn-BA"/>
              </w:rPr>
              <w:t>Institucionalni i administrativni kapaciteti</w:t>
            </w:r>
          </w:p>
          <w:p w14:paraId="14685DC7" w14:textId="77777777" w:rsidR="004C4D68" w:rsidRPr="004C4D68" w:rsidRDefault="004C4D68" w:rsidP="004C4D68">
            <w:pPr>
              <w:pStyle w:val="NormalWeb"/>
              <w:rPr>
                <w:lang w:val="bs-Latn-BA"/>
              </w:rPr>
            </w:pPr>
            <w:r w:rsidRPr="004C4D68">
              <w:rPr>
                <w:lang w:val="bs-Latn-BA"/>
              </w:rPr>
              <w:t>Opći cilj je profesionalizacija i jačanje kapaciteta sistema javnih nabavki u BiH kako bi se osigurala dosljedna i zakonita primjena propisa na svim nivoima vlasti.</w:t>
            </w:r>
            <w:r w:rsidRPr="004C4D68">
              <w:rPr>
                <w:lang w:val="bs-Latn-BA"/>
              </w:rPr>
              <w:br/>
              <w:t>Specifični ciljevi uključuju:</w:t>
            </w:r>
          </w:p>
          <w:p w14:paraId="02E25045" w14:textId="77777777" w:rsidR="004C4D68" w:rsidRPr="004C4D68" w:rsidRDefault="004C4D68" w:rsidP="004C4D68">
            <w:pPr>
              <w:pStyle w:val="NormalWeb"/>
              <w:numPr>
                <w:ilvl w:val="0"/>
                <w:numId w:val="25"/>
              </w:numPr>
              <w:rPr>
                <w:lang w:val="bs-Latn-BA"/>
              </w:rPr>
            </w:pPr>
            <w:r w:rsidRPr="004C4D68">
              <w:rPr>
                <w:lang w:val="bs-Latn-BA"/>
              </w:rPr>
              <w:t>uspostaviti sistem obavezne certifikacije službenika za javne nabavke,</w:t>
            </w:r>
          </w:p>
          <w:p w14:paraId="3F2E2AA7" w14:textId="77777777" w:rsidR="004C4D68" w:rsidRPr="004C4D68" w:rsidRDefault="004C4D68" w:rsidP="004C4D68">
            <w:pPr>
              <w:pStyle w:val="NormalWeb"/>
              <w:numPr>
                <w:ilvl w:val="0"/>
                <w:numId w:val="25"/>
              </w:numPr>
              <w:rPr>
                <w:lang w:val="bs-Latn-BA"/>
              </w:rPr>
            </w:pPr>
            <w:r w:rsidRPr="004C4D68">
              <w:rPr>
                <w:lang w:val="bs-Latn-BA"/>
              </w:rPr>
              <w:t>osigurati kontinuirane i tematske obuke (praktične, e-obuke, sektorske),</w:t>
            </w:r>
          </w:p>
          <w:p w14:paraId="69271C5D" w14:textId="77777777" w:rsidR="004C4D68" w:rsidRPr="004C4D68" w:rsidRDefault="004C4D68" w:rsidP="004C4D68">
            <w:pPr>
              <w:pStyle w:val="NormalWeb"/>
              <w:numPr>
                <w:ilvl w:val="0"/>
                <w:numId w:val="25"/>
              </w:numPr>
              <w:rPr>
                <w:lang w:val="bs-Latn-BA"/>
              </w:rPr>
            </w:pPr>
            <w:r w:rsidRPr="004C4D68">
              <w:rPr>
                <w:lang w:val="bs-Latn-BA"/>
              </w:rPr>
              <w:t>donijeti interne pravilnike i procedure u institucijama i preduzećima o planiranju, provođenju i nadzoru nabavki,</w:t>
            </w:r>
          </w:p>
          <w:p w14:paraId="1C780882" w14:textId="77777777" w:rsidR="004C4D68" w:rsidRPr="004C4D68" w:rsidRDefault="004C4D68" w:rsidP="004C4D68">
            <w:pPr>
              <w:pStyle w:val="NormalWeb"/>
              <w:numPr>
                <w:ilvl w:val="0"/>
                <w:numId w:val="25"/>
              </w:numPr>
              <w:rPr>
                <w:lang w:val="bs-Latn-BA"/>
              </w:rPr>
            </w:pPr>
            <w:r w:rsidRPr="004C4D68">
              <w:rPr>
                <w:lang w:val="bs-Latn-BA"/>
              </w:rPr>
              <w:t>jačati nadzornu i savjetodavnu ulogu Agencije za javne nabavke BiH,</w:t>
            </w:r>
          </w:p>
          <w:p w14:paraId="43EB2C35" w14:textId="77777777" w:rsidR="004C4D68" w:rsidRPr="004C4D68" w:rsidRDefault="004C4D68" w:rsidP="004C4D68">
            <w:pPr>
              <w:pStyle w:val="NormalWeb"/>
              <w:numPr>
                <w:ilvl w:val="0"/>
                <w:numId w:val="25"/>
              </w:numPr>
              <w:rPr>
                <w:lang w:val="bs-Latn-BA"/>
              </w:rPr>
            </w:pPr>
            <w:r w:rsidRPr="004C4D68">
              <w:rPr>
                <w:lang w:val="bs-Latn-BA"/>
              </w:rPr>
              <w:t>osigurati koordinaciju između Agencije, URŽ-a i entitetskih/županijskih tijela u oblasti edukacije i praćenja učinka.</w:t>
            </w:r>
          </w:p>
          <w:p w14:paraId="444CA375" w14:textId="77777777" w:rsidR="00687378" w:rsidRPr="001B04CD" w:rsidRDefault="00687378" w:rsidP="00687378">
            <w:pPr>
              <w:pStyle w:val="Heading3"/>
              <w:jc w:val="both"/>
              <w:rPr>
                <w:bCs w:val="0"/>
                <w:sz w:val="24"/>
                <w:szCs w:val="24"/>
                <w:lang w:val="bs-Latn-BA"/>
              </w:rPr>
            </w:pPr>
            <w:r w:rsidRPr="001B04CD">
              <w:rPr>
                <w:bCs w:val="0"/>
                <w:sz w:val="24"/>
                <w:szCs w:val="24"/>
                <w:lang w:val="bs-Latn-BA"/>
              </w:rPr>
              <w:t>Pristup malih i srednjih preduzeća (MSP) i inovacije</w:t>
            </w:r>
          </w:p>
          <w:p w14:paraId="620982A3" w14:textId="77777777" w:rsidR="007451FC" w:rsidRPr="007451FC" w:rsidRDefault="007451FC" w:rsidP="007451FC">
            <w:pPr>
              <w:pStyle w:val="NormalWeb"/>
              <w:rPr>
                <w:lang w:val="bs-Latn-BA"/>
              </w:rPr>
            </w:pPr>
            <w:r w:rsidRPr="007451FC">
              <w:rPr>
                <w:lang w:val="bs-Latn-BA"/>
              </w:rPr>
              <w:t>Opći cilj je povećati učešće MSP u postupcima javnih nabavki i podstaći inovativna rješenja kroz modernizaciju postupaka i uklanjanje prepreka.</w:t>
            </w:r>
            <w:r w:rsidRPr="007451FC">
              <w:rPr>
                <w:lang w:val="bs-Latn-BA"/>
              </w:rPr>
              <w:br/>
              <w:t>Specifični ciljevi uključuju:</w:t>
            </w:r>
          </w:p>
          <w:p w14:paraId="21E5815B" w14:textId="77777777" w:rsidR="007451FC" w:rsidRPr="007451FC" w:rsidRDefault="007451FC" w:rsidP="007451FC">
            <w:pPr>
              <w:pStyle w:val="NormalWeb"/>
              <w:numPr>
                <w:ilvl w:val="0"/>
                <w:numId w:val="23"/>
              </w:numPr>
              <w:rPr>
                <w:lang w:val="bs-Latn-BA"/>
              </w:rPr>
            </w:pPr>
            <w:r w:rsidRPr="007451FC">
              <w:rPr>
                <w:lang w:val="bs-Latn-BA"/>
              </w:rPr>
              <w:t>osigurati proporcionalnost uslova i zahtjeva u odnosu na predmet nabavke,</w:t>
            </w:r>
          </w:p>
          <w:p w14:paraId="7CA0473D" w14:textId="77777777" w:rsidR="007451FC" w:rsidRPr="007451FC" w:rsidRDefault="007451FC" w:rsidP="007451FC">
            <w:pPr>
              <w:pStyle w:val="NormalWeb"/>
              <w:numPr>
                <w:ilvl w:val="0"/>
                <w:numId w:val="23"/>
              </w:numPr>
              <w:rPr>
                <w:lang w:val="bs-Latn-BA"/>
              </w:rPr>
            </w:pPr>
            <w:r w:rsidRPr="007451FC">
              <w:rPr>
                <w:lang w:val="bs-Latn-BA"/>
              </w:rPr>
              <w:t>podstaći dijeljenje nabavki na lotove kako bi MSP mogli konkurisati,</w:t>
            </w:r>
          </w:p>
          <w:p w14:paraId="2BD9DE6E" w14:textId="77777777" w:rsidR="007451FC" w:rsidRPr="007451FC" w:rsidRDefault="007451FC" w:rsidP="007451FC">
            <w:pPr>
              <w:pStyle w:val="NormalWeb"/>
              <w:numPr>
                <w:ilvl w:val="0"/>
                <w:numId w:val="23"/>
              </w:numPr>
              <w:rPr>
                <w:lang w:val="bs-Latn-BA"/>
              </w:rPr>
            </w:pPr>
            <w:r w:rsidRPr="007451FC">
              <w:rPr>
                <w:lang w:val="bs-Latn-BA"/>
              </w:rPr>
              <w:t>smanjiti administrativno opterećenje (standardizacija obrazaca, digitalizacija dokaza),</w:t>
            </w:r>
          </w:p>
          <w:p w14:paraId="6036F1C2" w14:textId="77777777" w:rsidR="007451FC" w:rsidRPr="007451FC" w:rsidRDefault="007451FC" w:rsidP="007451FC">
            <w:pPr>
              <w:pStyle w:val="NormalWeb"/>
              <w:numPr>
                <w:ilvl w:val="0"/>
                <w:numId w:val="23"/>
              </w:numPr>
              <w:rPr>
                <w:lang w:val="bs-Latn-BA"/>
              </w:rPr>
            </w:pPr>
            <w:r w:rsidRPr="007451FC">
              <w:rPr>
                <w:lang w:val="bs-Latn-BA"/>
              </w:rPr>
              <w:t>stvoriti pravni okvir koji omogućava partnerstvo za inovacije i saradnju s inovativnim subjektima (MSP, start-upovi, istraživačke institucije).</w:t>
            </w:r>
          </w:p>
          <w:p w14:paraId="426F7DE1" w14:textId="77777777" w:rsidR="003B3636" w:rsidRPr="001B04CD" w:rsidRDefault="003B3636" w:rsidP="0038084E">
            <w:pPr>
              <w:spacing w:before="100" w:beforeAutospacing="1" w:after="100" w:afterAutospacing="1" w:line="240" w:lineRule="auto"/>
              <w:jc w:val="both"/>
              <w:rPr>
                <w:rFonts w:ascii="Times New Roman" w:eastAsia="Times New Roman" w:hAnsi="Times New Roman" w:cs="Times New Roman"/>
                <w:sz w:val="24"/>
                <w:szCs w:val="24"/>
              </w:rPr>
            </w:pPr>
          </w:p>
          <w:p w14:paraId="4A3CE8D2" w14:textId="77777777" w:rsidR="0041615B" w:rsidRPr="001B04CD" w:rsidRDefault="0041615B" w:rsidP="0041615B">
            <w:pPr>
              <w:spacing w:before="100" w:beforeAutospacing="1" w:after="100" w:afterAutospacing="1" w:line="240" w:lineRule="auto"/>
              <w:jc w:val="both"/>
              <w:rPr>
                <w:rFonts w:ascii="Times New Roman" w:eastAsia="Times New Roman" w:hAnsi="Times New Roman" w:cs="Times New Roman"/>
                <w:b/>
                <w:bCs/>
                <w:sz w:val="24"/>
                <w:szCs w:val="24"/>
              </w:rPr>
            </w:pPr>
            <w:r w:rsidRPr="001B04CD">
              <w:rPr>
                <w:rFonts w:ascii="Times New Roman" w:eastAsia="Times New Roman" w:hAnsi="Times New Roman" w:cs="Times New Roman"/>
                <w:b/>
                <w:bCs/>
                <w:sz w:val="24"/>
                <w:szCs w:val="24"/>
              </w:rPr>
              <w:t>Rezervisani ugovori i socijalna inkluzija</w:t>
            </w:r>
          </w:p>
          <w:p w14:paraId="1DBC9017" w14:textId="77777777" w:rsidR="0041615B" w:rsidRPr="001B04CD" w:rsidRDefault="0041615B" w:rsidP="0041615B">
            <w:pPr>
              <w:pStyle w:val="NormalWeb"/>
              <w:jc w:val="both"/>
              <w:rPr>
                <w:lang w:val="bs-Latn-BA"/>
              </w:rPr>
            </w:pPr>
            <w:r w:rsidRPr="001B04CD">
              <w:rPr>
                <w:lang w:val="bs-Latn-BA"/>
              </w:rPr>
              <w:t>Cilj reforme je osigurati da javne nabavke doprinesu socijalnim ciljevima kroz uvođenje standardizovanih smjernica i obrazaca, jačanje kapaciteta ugovornih organa i širu primjenu rezervisanih ugovora. Ključno je podsticati zapošljavanje osoba sa invaliditetom, dugoročno nezaposlenih i mladih bez radnog iskustva, unaprijediti radne uslove kod ponuđača, te promovisati rodnu ravnopravnost i jednake šanse.</w:t>
            </w:r>
          </w:p>
          <w:p w14:paraId="768AC0B2" w14:textId="77777777" w:rsidR="00CF3341" w:rsidRPr="001B04CD" w:rsidRDefault="00CF3341" w:rsidP="00CF3341">
            <w:pPr>
              <w:pStyle w:val="Heading3"/>
              <w:jc w:val="both"/>
              <w:rPr>
                <w:bCs w:val="0"/>
                <w:sz w:val="24"/>
                <w:szCs w:val="24"/>
                <w:lang w:val="bs-Latn-BA"/>
              </w:rPr>
            </w:pPr>
            <w:r w:rsidRPr="001B04CD">
              <w:rPr>
                <w:bCs w:val="0"/>
                <w:sz w:val="24"/>
                <w:szCs w:val="24"/>
                <w:lang w:val="bs-Latn-BA"/>
              </w:rPr>
              <w:t>Praćenje postupaka javnih nabavki i transparentnost</w:t>
            </w:r>
          </w:p>
          <w:p w14:paraId="423FD57A" w14:textId="77777777" w:rsidR="00AF33F8" w:rsidRPr="00AF33F8" w:rsidRDefault="00AF33F8" w:rsidP="00AF33F8">
            <w:pPr>
              <w:pStyle w:val="NormalWeb"/>
              <w:jc w:val="both"/>
              <w:rPr>
                <w:lang w:val="bs-Latn-BA"/>
              </w:rPr>
            </w:pPr>
            <w:r w:rsidRPr="00AF33F8">
              <w:rPr>
                <w:lang w:val="bs-Latn-BA"/>
              </w:rPr>
              <w:lastRenderedPageBreak/>
              <w:t>Opći cilj je povećati transparentnost i odgovornost sistema javnih nabavki kroz dosljedno praćenje i javnu objavu svih relevantnih informacija.</w:t>
            </w:r>
            <w:r w:rsidRPr="00AF33F8">
              <w:rPr>
                <w:lang w:val="bs-Latn-BA"/>
              </w:rPr>
              <w:br/>
              <w:t>Specifični ciljevi uključuju:</w:t>
            </w:r>
          </w:p>
          <w:p w14:paraId="25ED8E7A" w14:textId="77777777" w:rsidR="00AF33F8" w:rsidRPr="00AF33F8" w:rsidRDefault="00AF33F8" w:rsidP="00AF33F8">
            <w:pPr>
              <w:pStyle w:val="NormalWeb"/>
              <w:numPr>
                <w:ilvl w:val="0"/>
                <w:numId w:val="21"/>
              </w:numPr>
              <w:jc w:val="both"/>
              <w:rPr>
                <w:lang w:val="bs-Latn-BA"/>
              </w:rPr>
            </w:pPr>
            <w:r w:rsidRPr="00AF33F8">
              <w:rPr>
                <w:lang w:val="bs-Latn-BA"/>
              </w:rPr>
              <w:t>uspostavu standardiziranog sistema izvještavanja i praćenja svih faza nabavke,</w:t>
            </w:r>
          </w:p>
          <w:p w14:paraId="257F9A0A" w14:textId="77777777" w:rsidR="00AF33F8" w:rsidRPr="00AF33F8" w:rsidRDefault="00AF33F8" w:rsidP="00AF33F8">
            <w:pPr>
              <w:pStyle w:val="NormalWeb"/>
              <w:numPr>
                <w:ilvl w:val="0"/>
                <w:numId w:val="21"/>
              </w:numPr>
              <w:jc w:val="both"/>
              <w:rPr>
                <w:lang w:val="bs-Latn-BA"/>
              </w:rPr>
            </w:pPr>
            <w:r w:rsidRPr="00AF33F8">
              <w:rPr>
                <w:lang w:val="bs-Latn-BA"/>
              </w:rPr>
              <w:t>jačanje kapaciteta AJN i APIK-a za analizu podataka i identifikaciju rizika,</w:t>
            </w:r>
          </w:p>
          <w:p w14:paraId="2B45428F" w14:textId="77777777" w:rsidR="00AF33F8" w:rsidRPr="00AF33F8" w:rsidRDefault="00AF33F8" w:rsidP="00AF33F8">
            <w:pPr>
              <w:pStyle w:val="NormalWeb"/>
              <w:numPr>
                <w:ilvl w:val="0"/>
                <w:numId w:val="21"/>
              </w:numPr>
              <w:jc w:val="both"/>
              <w:rPr>
                <w:lang w:val="bs-Latn-BA"/>
              </w:rPr>
            </w:pPr>
            <w:r w:rsidRPr="00AF33F8">
              <w:rPr>
                <w:lang w:val="bs-Latn-BA"/>
              </w:rPr>
              <w:t>povećanje javne dostupnosti ugovora i informacija o realizaciji,</w:t>
            </w:r>
          </w:p>
          <w:p w14:paraId="1B172205" w14:textId="77777777" w:rsidR="00AF33F8" w:rsidRPr="001B04CD" w:rsidRDefault="00AF33F8" w:rsidP="00AF33F8">
            <w:pPr>
              <w:pStyle w:val="NormalWeb"/>
              <w:numPr>
                <w:ilvl w:val="0"/>
                <w:numId w:val="21"/>
              </w:numPr>
              <w:jc w:val="both"/>
              <w:rPr>
                <w:lang w:val="bs-Latn-BA"/>
              </w:rPr>
            </w:pPr>
            <w:r w:rsidRPr="00AF33F8">
              <w:rPr>
                <w:lang w:val="bs-Latn-BA"/>
              </w:rPr>
              <w:t>unapređenje povjerenja javnosti i privrednih subjekata u sistem.</w:t>
            </w:r>
          </w:p>
          <w:p w14:paraId="7BE232FF" w14:textId="77777777" w:rsidR="00033349" w:rsidRPr="001B04CD" w:rsidRDefault="00033349" w:rsidP="00033349">
            <w:pPr>
              <w:pStyle w:val="Heading3"/>
              <w:jc w:val="both"/>
              <w:rPr>
                <w:bCs w:val="0"/>
                <w:sz w:val="24"/>
                <w:szCs w:val="24"/>
                <w:lang w:val="bs-Latn-BA"/>
              </w:rPr>
            </w:pPr>
            <w:r w:rsidRPr="001B04CD">
              <w:rPr>
                <w:bCs w:val="0"/>
                <w:sz w:val="24"/>
                <w:szCs w:val="24"/>
                <w:lang w:val="bs-Latn-BA"/>
              </w:rPr>
              <w:t>Žalbeni postupci</w:t>
            </w:r>
          </w:p>
          <w:p w14:paraId="5FBD4C9A" w14:textId="77777777" w:rsidR="00033349" w:rsidRPr="00033349" w:rsidRDefault="00033349" w:rsidP="00033349">
            <w:pPr>
              <w:pStyle w:val="NormalWeb"/>
              <w:jc w:val="both"/>
              <w:rPr>
                <w:lang w:val="bs-Latn-BA"/>
              </w:rPr>
            </w:pPr>
            <w:r w:rsidRPr="00033349">
              <w:rPr>
                <w:lang w:val="bs-Latn-BA"/>
              </w:rPr>
              <w:t>Opći cilj je povećati efikasnost, pravnu sigurnost i vjerodostojnost žalbenog sistema.</w:t>
            </w:r>
            <w:r w:rsidRPr="00033349">
              <w:rPr>
                <w:lang w:val="bs-Latn-BA"/>
              </w:rPr>
              <w:br/>
              <w:t>Specifični ciljevi su:</w:t>
            </w:r>
          </w:p>
          <w:p w14:paraId="7C308B21" w14:textId="77777777" w:rsidR="00033349" w:rsidRPr="00033349" w:rsidRDefault="00033349" w:rsidP="00033349">
            <w:pPr>
              <w:pStyle w:val="NormalWeb"/>
              <w:numPr>
                <w:ilvl w:val="0"/>
                <w:numId w:val="22"/>
              </w:numPr>
              <w:jc w:val="both"/>
              <w:rPr>
                <w:lang w:val="bs-Latn-BA"/>
              </w:rPr>
            </w:pPr>
            <w:r w:rsidRPr="00033349">
              <w:rPr>
                <w:lang w:val="bs-Latn-BA"/>
              </w:rPr>
              <w:t>ubrzati odlučivanje i skratiti rokove,</w:t>
            </w:r>
          </w:p>
          <w:p w14:paraId="6D56735C" w14:textId="77777777" w:rsidR="00033349" w:rsidRPr="00033349" w:rsidRDefault="00033349" w:rsidP="00033349">
            <w:pPr>
              <w:pStyle w:val="NormalWeb"/>
              <w:numPr>
                <w:ilvl w:val="0"/>
                <w:numId w:val="22"/>
              </w:numPr>
              <w:jc w:val="both"/>
              <w:rPr>
                <w:lang w:val="bs-Latn-BA"/>
              </w:rPr>
            </w:pPr>
            <w:r w:rsidRPr="00033349">
              <w:rPr>
                <w:lang w:val="bs-Latn-BA"/>
              </w:rPr>
              <w:t>smanjiti broj neosnovanih žalbi i zloupotreba,</w:t>
            </w:r>
          </w:p>
          <w:p w14:paraId="289492B9" w14:textId="77777777" w:rsidR="00033349" w:rsidRPr="00033349" w:rsidRDefault="00033349" w:rsidP="00033349">
            <w:pPr>
              <w:pStyle w:val="NormalWeb"/>
              <w:numPr>
                <w:ilvl w:val="0"/>
                <w:numId w:val="22"/>
              </w:numPr>
              <w:jc w:val="both"/>
              <w:rPr>
                <w:lang w:val="bs-Latn-BA"/>
              </w:rPr>
            </w:pPr>
            <w:r w:rsidRPr="00033349">
              <w:rPr>
                <w:lang w:val="bs-Latn-BA"/>
              </w:rPr>
              <w:t>osigurati digitalizaciju postupka i pristup podacima u realnom vremenu,</w:t>
            </w:r>
          </w:p>
          <w:p w14:paraId="66CD9840" w14:textId="77777777" w:rsidR="00033349" w:rsidRPr="00033349" w:rsidRDefault="00033349" w:rsidP="00033349">
            <w:pPr>
              <w:pStyle w:val="NormalWeb"/>
              <w:numPr>
                <w:ilvl w:val="0"/>
                <w:numId w:val="22"/>
              </w:numPr>
              <w:jc w:val="both"/>
              <w:rPr>
                <w:lang w:val="bs-Latn-BA"/>
              </w:rPr>
            </w:pPr>
            <w:r w:rsidRPr="00033349">
              <w:rPr>
                <w:lang w:val="bs-Latn-BA"/>
              </w:rPr>
              <w:t>ujednačiti praksu i povećati profesionalne standarde članova URŽ-a.</w:t>
            </w:r>
          </w:p>
          <w:p w14:paraId="05146E90" w14:textId="77777777" w:rsidR="00033349" w:rsidRPr="00AF33F8" w:rsidRDefault="00033349" w:rsidP="00033349">
            <w:pPr>
              <w:pStyle w:val="NormalWeb"/>
              <w:jc w:val="both"/>
              <w:rPr>
                <w:lang w:val="bs-Latn-BA"/>
              </w:rPr>
            </w:pPr>
          </w:p>
          <w:p w14:paraId="65F086FD" w14:textId="77777777" w:rsidR="0041615B" w:rsidRPr="001B04CD" w:rsidRDefault="0041615B" w:rsidP="0038084E">
            <w:pPr>
              <w:spacing w:before="100" w:beforeAutospacing="1" w:after="100" w:afterAutospacing="1" w:line="240" w:lineRule="auto"/>
              <w:jc w:val="both"/>
              <w:rPr>
                <w:rFonts w:ascii="Times New Roman" w:eastAsia="Times New Roman" w:hAnsi="Times New Roman" w:cs="Times New Roman"/>
                <w:sz w:val="24"/>
                <w:szCs w:val="24"/>
              </w:rPr>
            </w:pPr>
          </w:p>
        </w:tc>
      </w:tr>
      <w:tr w:rsidR="00F92C68" w:rsidRPr="001B04CD" w14:paraId="54E86692" w14:textId="77777777" w:rsidTr="00EF61B4">
        <w:tc>
          <w:tcPr>
            <w:tcW w:w="0" w:type="auto"/>
            <w:gridSpan w:val="2"/>
            <w:tcBorders>
              <w:top w:val="single" w:sz="8" w:space="0" w:color="4F81BD"/>
              <w:left w:val="single" w:sz="8" w:space="0" w:color="4F81BD"/>
              <w:bottom w:val="single" w:sz="8" w:space="0" w:color="4F81BD"/>
              <w:right w:val="single" w:sz="8" w:space="0" w:color="4F81BD"/>
            </w:tcBorders>
            <w:hideMark/>
          </w:tcPr>
          <w:p w14:paraId="1E870B14" w14:textId="77777777" w:rsidR="00F92C68" w:rsidRPr="001B04CD" w:rsidRDefault="00F92C68" w:rsidP="000A6C6A">
            <w:pPr>
              <w:spacing w:after="0" w:line="240" w:lineRule="auto"/>
              <w:jc w:val="both"/>
              <w:rPr>
                <w:rFonts w:ascii="Times New Roman" w:eastAsia="Times New Roman" w:hAnsi="Times New Roman" w:cs="Times New Roman"/>
                <w:b/>
                <w:bCs/>
                <w:sz w:val="24"/>
                <w:szCs w:val="24"/>
              </w:rPr>
            </w:pPr>
            <w:r w:rsidRPr="001B04CD">
              <w:rPr>
                <w:rFonts w:ascii="Times New Roman" w:eastAsia="Times New Roman" w:hAnsi="Times New Roman" w:cs="Times New Roman"/>
                <w:b/>
                <w:bCs/>
                <w:sz w:val="24"/>
                <w:szCs w:val="24"/>
              </w:rPr>
              <w:lastRenderedPageBreak/>
              <w:t>4. UTVRĐIVANJE MOGUĆIH RJEŠENJA</w:t>
            </w:r>
          </w:p>
          <w:p w14:paraId="3DC0AF32" w14:textId="77777777" w:rsidR="00585BA5" w:rsidRPr="001B04CD" w:rsidRDefault="00585BA5" w:rsidP="000A6C6A">
            <w:pPr>
              <w:spacing w:after="0" w:line="240" w:lineRule="auto"/>
              <w:jc w:val="both"/>
              <w:rPr>
                <w:rFonts w:ascii="Times New Roman" w:eastAsia="Times New Roman" w:hAnsi="Times New Roman" w:cs="Times New Roman"/>
                <w:b/>
                <w:bCs/>
                <w:sz w:val="24"/>
                <w:szCs w:val="24"/>
              </w:rPr>
            </w:pPr>
          </w:p>
          <w:p w14:paraId="240DDC18" w14:textId="77777777" w:rsidR="000A6C6A" w:rsidRPr="001B04CD" w:rsidRDefault="000A6C6A" w:rsidP="000A6C6A">
            <w:pPr>
              <w:spacing w:after="0" w:line="240" w:lineRule="auto"/>
              <w:jc w:val="both"/>
              <w:rPr>
                <w:rFonts w:ascii="Times New Roman" w:eastAsia="Times New Roman" w:hAnsi="Times New Roman" w:cs="Times New Roman"/>
                <w:b/>
                <w:bCs/>
                <w:sz w:val="24"/>
                <w:szCs w:val="24"/>
              </w:rPr>
            </w:pPr>
            <w:r w:rsidRPr="001B04CD">
              <w:rPr>
                <w:rFonts w:ascii="Times New Roman" w:eastAsia="Times New Roman" w:hAnsi="Times New Roman" w:cs="Times New Roman"/>
                <w:b/>
                <w:bCs/>
                <w:sz w:val="24"/>
                <w:szCs w:val="24"/>
              </w:rPr>
              <w:t>Koluzija i ograničena konkurencija</w:t>
            </w:r>
          </w:p>
          <w:p w14:paraId="42C150C5" w14:textId="77777777" w:rsidR="00585BA5" w:rsidRPr="001B04CD" w:rsidRDefault="00585BA5" w:rsidP="000A6C6A">
            <w:pPr>
              <w:spacing w:after="0" w:line="240" w:lineRule="auto"/>
              <w:jc w:val="both"/>
              <w:rPr>
                <w:rFonts w:ascii="Times New Roman" w:eastAsia="Times New Roman" w:hAnsi="Times New Roman" w:cs="Times New Roman"/>
                <w:b/>
                <w:bCs/>
                <w:sz w:val="24"/>
                <w:szCs w:val="24"/>
              </w:rPr>
            </w:pPr>
          </w:p>
          <w:p w14:paraId="0D447D6C" w14:textId="77777777" w:rsidR="000A6C6A" w:rsidRPr="001B04CD" w:rsidRDefault="000A6C6A" w:rsidP="000A6C6A">
            <w:pPr>
              <w:spacing w:after="0" w:line="240" w:lineRule="auto"/>
              <w:jc w:val="both"/>
              <w:rPr>
                <w:rFonts w:ascii="Times New Roman" w:eastAsia="Times New Roman" w:hAnsi="Times New Roman" w:cs="Times New Roman"/>
                <w:bCs/>
                <w:sz w:val="24"/>
                <w:szCs w:val="24"/>
              </w:rPr>
            </w:pPr>
            <w:r w:rsidRPr="001B04CD">
              <w:rPr>
                <w:rFonts w:ascii="Times New Roman" w:eastAsia="Times New Roman" w:hAnsi="Times New Roman" w:cs="Times New Roman"/>
                <w:sz w:val="24"/>
                <w:szCs w:val="24"/>
              </w:rPr>
              <w:t>Jedna opcija je zadržati postojeći sistem, prema kojem Konkurencijsko vijeće ima punu nadležnost, ali iskustvo pokazuje da je to nedovoljno i neefikasno. Druga opcija je djelimična izmjena kroz uvođenje koluzije u kategoriju profesionalnog propusta, kako je predviđeno prednacrtom. Ovim rješenjem bi se omogućilo isključenje ponuđača, čime se povećava preventivni efekat i jača uloga ugovornih organa. Ipak, bez dodatnih instrumenata postoji rizik da će se ova norma koristiti rijetko i selektivno.</w:t>
            </w:r>
          </w:p>
          <w:p w14:paraId="178C4246" w14:textId="77777777" w:rsidR="000A6C6A" w:rsidRPr="001B04CD" w:rsidRDefault="000A6C6A" w:rsidP="000A6C6A">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Treća, ambicioznija opcija podrazumijeva proaktivan pristup. To znači obavezu ugovornih organa da koriste jasne indikatore i alate za prepoznavanje potencijalne koluzije, kao što su neuobičajeno slične cijene, rotacija pobjednika ili istovremeno povlačenje ponuda. Također, potrebna je institucionalizovana saradnja između Agencije za javne nabavke i Konkurencijskog vijeća, uključujući razmjenu podataka i zajedničke analize tržišta. Edukacija službenika javnih nabavki o prepoznavanju koluzije bila bi ključna podrška ovom procesu. Najzad, zakon treba omogućiti isključenje ponuđača za koje se dokaže da su učestvovali u zabranjenim dogovorima, u skladu s praksom Evropske unije.</w:t>
            </w:r>
          </w:p>
          <w:p w14:paraId="7AD72715" w14:textId="77777777" w:rsidR="000A6C6A" w:rsidRPr="001B04CD" w:rsidRDefault="000A6C6A" w:rsidP="000A6C6A">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Najefikasnije rješenje bi bilo kombinovanje postojećeg prednacrta sa dodatnim mjerama prevencije i institucionalne saradnje, čime bi se stvorio sistem koji ne samo da reaguje kada se koluzija dokaže, nego je i aktivno sprječava.</w:t>
            </w:r>
          </w:p>
          <w:p w14:paraId="2B033E8D" w14:textId="77777777" w:rsidR="00FC410C" w:rsidRPr="001B04CD" w:rsidRDefault="00FC410C" w:rsidP="00FC410C">
            <w:pPr>
              <w:pStyle w:val="Heading3"/>
              <w:jc w:val="both"/>
              <w:rPr>
                <w:sz w:val="24"/>
                <w:szCs w:val="24"/>
                <w:lang w:val="bs-Latn-BA"/>
              </w:rPr>
            </w:pPr>
            <w:r w:rsidRPr="001B04CD">
              <w:rPr>
                <w:sz w:val="24"/>
                <w:szCs w:val="24"/>
                <w:lang w:val="bs-Latn-BA"/>
              </w:rPr>
              <w:t>Zelene i društveno odgovorne nabavke</w:t>
            </w:r>
          </w:p>
          <w:p w14:paraId="36836CAF" w14:textId="77777777" w:rsidR="006C0E76" w:rsidRPr="001B04CD" w:rsidRDefault="006C0E76" w:rsidP="006C0E7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Mogu se razmotriti tri glavne opcije, od „najblaže“ do „najambicioznije“:</w:t>
            </w:r>
          </w:p>
          <w:p w14:paraId="6AED37A9" w14:textId="77777777" w:rsidR="006C0E76" w:rsidRPr="001B04CD" w:rsidRDefault="006C0E76" w:rsidP="006C0E7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lastRenderedPageBreak/>
              <w:t>Prva opcija — održavanje sadašnjeg pravnog okvira uz neobavezne preporuke. Ova opcija podrazumijeva da se zakon u praksi ne mijenja bitno, već da se oslanja na voljni pristup ugovornih organa i povremene promotivne kampanje ili pilot-projekate. Prednost je mala potreba za inicijalnim resursima; mana je što vjerojatno neće promijeniti praksu.</w:t>
            </w:r>
          </w:p>
          <w:p w14:paraId="297D302D" w14:textId="77777777" w:rsidR="006C0E76" w:rsidRPr="001B04CD" w:rsidRDefault="006C0E76" w:rsidP="006C0E7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Druga opcija — „proaktivna integracija“ (umjerena reforma). Predviđa se jačanje pravnog okvira kroz obavezne smjernice koje Agencija izdaje (modeli tehničkih specifikacija s uključenim zelenim kriterijima, predlošci LCC izračuna), obavezu primjene LCC-pristupa za nabavke iznad određenog praga (npr. sve nabavke preko X KM ili sve kategorije koje utječu na energiju i otpad), obavezno navođenje ekoloških potkriterija u evaluaciji i moguće preferiranje ponuda koje zadovoljavaju priznate ekološke oznake ili jednako dokazive ekvivalente. U okviru ove opcije potrebno je i financirati kapacitete: razvoj online alata (LCC kalkulator), obuke za službenike, i pilot-projekti za 3–5 prioritetnih kategorija. Prednost je značajan učinak uz umjerene troškove; mana je potreba za koordinacijom i kratkoročnim budžetskim ulaganjima.</w:t>
            </w:r>
          </w:p>
          <w:p w14:paraId="42AE09D6" w14:textId="77777777" w:rsidR="000A6C6A" w:rsidRPr="001B04CD" w:rsidRDefault="006C0E76" w:rsidP="0038084E">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Treća opcija — „ambiciozni pristup transformacije“ (sveobuhvatna reforma). Ovdje bi Zakon izričito postavio ciljeve (npr. postotak javnih nabavki sa zelenim kriterijima unutar 3–5 godina), obavezno primjenjivanje LCC na sve velike nabavke, uvođenje minimalnih zelenih zahtjeva (npr. energetske klase, udio recikliranih materijala) za visoko-prioritetne kategorije, elektroničko označavanje „GPP“ na Portalu JN i uvođenje preferencijalnih bodova za ponude iz socijalnih inkluzivnih programa (rezervisani ugovori). Također, ova opcija zahtijeva stvaranje mehanizama financijske potpore (potpora prilagodbi MSP, pilot-sufinansiranje zelene nabavke) i snažnu koordinaciju s Ministarstvom finansija i resornim ministarstvima. Prednost je maksimalni dugoročni okolišni i ekonomski učinak; mana su znatno veći inicijalni troškovi i operativna složenost.</w:t>
            </w:r>
          </w:p>
          <w:p w14:paraId="29BC2844" w14:textId="77777777" w:rsidR="003B3636" w:rsidRPr="001B04CD" w:rsidRDefault="003B3636" w:rsidP="003B3636">
            <w:pPr>
              <w:pStyle w:val="Heading3"/>
              <w:jc w:val="both"/>
              <w:rPr>
                <w:sz w:val="24"/>
                <w:szCs w:val="24"/>
                <w:lang w:val="bs-Latn-BA"/>
              </w:rPr>
            </w:pPr>
            <w:r w:rsidRPr="001B04CD">
              <w:rPr>
                <w:sz w:val="24"/>
                <w:szCs w:val="24"/>
                <w:lang w:val="bs-Latn-BA"/>
              </w:rPr>
              <w:t>Digitalizacija i e-Nabavke</w:t>
            </w:r>
          </w:p>
          <w:p w14:paraId="32618428" w14:textId="77777777" w:rsidR="005B1585" w:rsidRPr="001B04CD" w:rsidRDefault="005B1585" w:rsidP="005B1585">
            <w:pPr>
              <w:pStyle w:val="NormalWeb"/>
              <w:rPr>
                <w:lang w:val="bs-Latn-BA"/>
              </w:rPr>
            </w:pPr>
            <w:r w:rsidRPr="001B04CD">
              <w:rPr>
                <w:lang w:val="bs-Latn-BA"/>
              </w:rPr>
              <w:t>Predložena rješenja uključuju:</w:t>
            </w:r>
          </w:p>
          <w:p w14:paraId="6217C8FF" w14:textId="77777777" w:rsidR="005B1585" w:rsidRPr="001B04CD" w:rsidRDefault="005B1585" w:rsidP="005B1585">
            <w:pPr>
              <w:pStyle w:val="NormalWeb"/>
              <w:numPr>
                <w:ilvl w:val="0"/>
                <w:numId w:val="17"/>
              </w:numPr>
              <w:rPr>
                <w:lang w:val="bs-Latn-BA"/>
              </w:rPr>
            </w:pPr>
            <w:r w:rsidRPr="001B04CD">
              <w:rPr>
                <w:lang w:val="bs-Latn-BA"/>
              </w:rPr>
              <w:t>Razvoj i implementaciju ključnih e-modula (e-ponuda, e-otvaranje, e-evaluacija, e-dodjela, e-žalbe) uz obavezu da se svi postupci vode elektronski i da se osigura digitalni trag.</w:t>
            </w:r>
          </w:p>
          <w:p w14:paraId="4586D001" w14:textId="77777777" w:rsidR="005B1585" w:rsidRPr="001B04CD" w:rsidRDefault="005B1585" w:rsidP="005B1585">
            <w:pPr>
              <w:pStyle w:val="NormalWeb"/>
              <w:numPr>
                <w:ilvl w:val="0"/>
                <w:numId w:val="17"/>
              </w:numPr>
              <w:rPr>
                <w:lang w:val="bs-Latn-BA"/>
              </w:rPr>
            </w:pPr>
            <w:r w:rsidRPr="001B04CD">
              <w:rPr>
                <w:lang w:val="bs-Latn-BA"/>
              </w:rPr>
              <w:t>Uspostavljanje interoperabilnosti sa registrima i bazama podataka (provjera kvalifikacija, smanjenje administrativnog opterećenja, zaštita ličnih podataka).</w:t>
            </w:r>
          </w:p>
          <w:p w14:paraId="5FE68962" w14:textId="77777777" w:rsidR="005B1585" w:rsidRPr="001B04CD" w:rsidRDefault="005B1585" w:rsidP="005B1585">
            <w:pPr>
              <w:pStyle w:val="NormalWeb"/>
              <w:numPr>
                <w:ilvl w:val="0"/>
                <w:numId w:val="17"/>
              </w:numPr>
              <w:rPr>
                <w:lang w:val="bs-Latn-BA"/>
              </w:rPr>
            </w:pPr>
            <w:r w:rsidRPr="001B04CD">
              <w:rPr>
                <w:lang w:val="bs-Latn-BA"/>
              </w:rPr>
              <w:t>Razvoj naprednog modula za analitiku i izvještavanje, sa definisanim indikatorima (trajanje postupaka, konkurentnost, broj žalbi, broj zelenih i socijalnih kriterija).</w:t>
            </w:r>
          </w:p>
          <w:p w14:paraId="2C4491F3" w14:textId="77777777" w:rsidR="009047F1" w:rsidRPr="001B04CD" w:rsidRDefault="009047F1" w:rsidP="009047F1">
            <w:pPr>
              <w:pStyle w:val="Heading3"/>
              <w:jc w:val="both"/>
              <w:rPr>
                <w:bCs w:val="0"/>
                <w:sz w:val="24"/>
                <w:szCs w:val="24"/>
                <w:lang w:val="bs-Latn-BA"/>
              </w:rPr>
            </w:pPr>
            <w:r w:rsidRPr="001B04CD">
              <w:rPr>
                <w:bCs w:val="0"/>
                <w:sz w:val="24"/>
                <w:szCs w:val="24"/>
                <w:lang w:val="bs-Latn-BA"/>
              </w:rPr>
              <w:t>Institucionalni i administrativni kapaciteti</w:t>
            </w:r>
          </w:p>
          <w:p w14:paraId="3467E6A3" w14:textId="7D27544C" w:rsidR="004C4D68" w:rsidRPr="001B04CD" w:rsidRDefault="004C4D68" w:rsidP="009047F1">
            <w:pPr>
              <w:pStyle w:val="Heading3"/>
              <w:jc w:val="both"/>
              <w:rPr>
                <w:b w:val="0"/>
                <w:sz w:val="24"/>
                <w:szCs w:val="24"/>
                <w:lang w:val="bs-Latn-BA"/>
              </w:rPr>
            </w:pPr>
            <w:r w:rsidRPr="001B04CD">
              <w:rPr>
                <w:b w:val="0"/>
                <w:sz w:val="24"/>
                <w:szCs w:val="24"/>
                <w:lang w:val="bs-Latn-BA"/>
              </w:rPr>
              <w:t>Opcija 1 – Status quo: Nastavak postojećeg sistema u kojem se obuke provode povremeno i bez standardizacije; ne postoji obavezna certifikacija; znanja su neujednačena.</w:t>
            </w:r>
            <w:r w:rsidRPr="001B04CD">
              <w:rPr>
                <w:b w:val="0"/>
                <w:sz w:val="24"/>
                <w:szCs w:val="24"/>
                <w:lang w:val="bs-Latn-BA"/>
              </w:rPr>
              <w:br/>
              <w:t>Opcija 2 – Uvođenje obavezne obuke i certifikacije: Uspostavljanje sistema licenciranja službenika u javnim nabavkama, obavezno pohađanje osnovnih i naprednih obuka, vođenje registra certificiranih osoba i uspostava modula e-učenja.</w:t>
            </w:r>
            <w:r w:rsidRPr="001B04CD">
              <w:rPr>
                <w:b w:val="0"/>
                <w:sz w:val="24"/>
                <w:szCs w:val="24"/>
                <w:lang w:val="bs-Latn-BA"/>
              </w:rPr>
              <w:br/>
              <w:t>Opcija 3 – Sistem profesionalizacije i institucionalne podrške: Pored mjera iz opcije 2, dodatno jačanje kapaciteta Agencije (kadrovski i budžetski), uspostava „centara</w:t>
            </w:r>
            <w:r w:rsidRPr="001B04CD">
              <w:rPr>
                <w:bCs w:val="0"/>
                <w:sz w:val="24"/>
                <w:szCs w:val="24"/>
                <w:lang w:val="bs-Latn-BA"/>
              </w:rPr>
              <w:t xml:space="preserve"> </w:t>
            </w:r>
            <w:r w:rsidRPr="001B04CD">
              <w:rPr>
                <w:b w:val="0"/>
                <w:sz w:val="24"/>
                <w:szCs w:val="24"/>
                <w:lang w:val="bs-Latn-BA"/>
              </w:rPr>
              <w:lastRenderedPageBreak/>
              <w:t>kompetencija“ ili regionalnih mreža edukatora, obavezno donošenje internih pravilnika i standardnih operativnih procedura u svim ugovornim organima.</w:t>
            </w:r>
          </w:p>
          <w:p w14:paraId="7EC0247B" w14:textId="77777777" w:rsidR="009047F1" w:rsidRPr="001B04CD" w:rsidRDefault="009047F1" w:rsidP="009047F1">
            <w:pPr>
              <w:pStyle w:val="NormalWeb"/>
              <w:rPr>
                <w:lang w:val="bs-Latn-BA"/>
              </w:rPr>
            </w:pPr>
          </w:p>
          <w:p w14:paraId="462629C2" w14:textId="77777777" w:rsidR="00687378" w:rsidRPr="001B04CD" w:rsidRDefault="00687378" w:rsidP="00687378">
            <w:pPr>
              <w:pStyle w:val="Heading3"/>
              <w:jc w:val="both"/>
              <w:rPr>
                <w:bCs w:val="0"/>
                <w:sz w:val="24"/>
                <w:szCs w:val="24"/>
                <w:lang w:val="bs-Latn-BA"/>
              </w:rPr>
            </w:pPr>
            <w:r w:rsidRPr="001B04CD">
              <w:rPr>
                <w:bCs w:val="0"/>
                <w:sz w:val="24"/>
                <w:szCs w:val="24"/>
                <w:lang w:val="bs-Latn-BA"/>
              </w:rPr>
              <w:t>Pristup malih i srednjih preduzeća (MSP) i inovacije</w:t>
            </w:r>
          </w:p>
          <w:p w14:paraId="5717EBFF" w14:textId="59031AB5" w:rsidR="00A068AC" w:rsidRPr="001B04CD" w:rsidRDefault="00A068AC" w:rsidP="00687378">
            <w:pPr>
              <w:pStyle w:val="Heading3"/>
              <w:jc w:val="both"/>
              <w:rPr>
                <w:b w:val="0"/>
                <w:sz w:val="24"/>
                <w:szCs w:val="24"/>
                <w:lang w:val="bs-Latn-BA"/>
              </w:rPr>
            </w:pPr>
            <w:r w:rsidRPr="001B04CD">
              <w:rPr>
                <w:b w:val="0"/>
                <w:sz w:val="24"/>
                <w:szCs w:val="24"/>
                <w:lang w:val="bs-Latn-BA"/>
              </w:rPr>
              <w:t>Opcija 1 – Status quo: Zadržavanje postojećeg pristupa u kojem se MSP takmiče pod istim uslovima kao i velike firme, bez posebnih stimulansa ili prilagođenih procedura.</w:t>
            </w:r>
            <w:r w:rsidRPr="001B04CD">
              <w:rPr>
                <w:b w:val="0"/>
                <w:sz w:val="24"/>
                <w:szCs w:val="24"/>
                <w:lang w:val="bs-Latn-BA"/>
              </w:rPr>
              <w:br/>
              <w:t>Opcija 2 – Uvođenje mjera za olakšavanje pristupa MSP: Obavezno razmatranje dijeljenja nabavke na lotove; smanjenje nepotrebnih administrativnih zahtjeva; uvođenje proporcionalnih kriterija tehničke i finansijske sposobnosti; standardizacija dokumentacije i veća upotreba digitalnih dokaza putem e-Nabavki.</w:t>
            </w:r>
            <w:r w:rsidRPr="001B04CD">
              <w:rPr>
                <w:b w:val="0"/>
                <w:sz w:val="24"/>
                <w:szCs w:val="24"/>
                <w:lang w:val="bs-Latn-BA"/>
              </w:rPr>
              <w:br/>
              <w:t xml:space="preserve">Opcija 3 – Proaktivni model inovacija i partnerstva: Pored mjera iz opcije 2, uvesti i </w:t>
            </w:r>
            <w:r w:rsidRPr="001B04CD">
              <w:rPr>
                <w:b w:val="0"/>
                <w:i/>
                <w:iCs/>
                <w:sz w:val="24"/>
                <w:szCs w:val="24"/>
                <w:lang w:val="bs-Latn-BA"/>
              </w:rPr>
              <w:t>Partnerstvo za inovacije</w:t>
            </w:r>
            <w:r w:rsidRPr="001B04CD">
              <w:rPr>
                <w:b w:val="0"/>
                <w:sz w:val="24"/>
                <w:szCs w:val="24"/>
                <w:lang w:val="bs-Latn-BA"/>
              </w:rPr>
              <w:t xml:space="preserve"> kao novi postupak, kojim se omogućava saradnja između ugovornih organa i privrede na razvoju novih rješenja koja još ne postoje na tržištu; uvođenje pilot projekata i fonda za inovativne javne nabavke.</w:t>
            </w:r>
          </w:p>
          <w:p w14:paraId="4B603D8D" w14:textId="77777777" w:rsidR="00687378" w:rsidRPr="001B04CD" w:rsidRDefault="00687378" w:rsidP="00687378">
            <w:pPr>
              <w:pStyle w:val="NormalWeb"/>
              <w:rPr>
                <w:lang w:val="bs-Latn-BA"/>
              </w:rPr>
            </w:pPr>
          </w:p>
          <w:p w14:paraId="2A315855" w14:textId="77777777" w:rsidR="0041615B" w:rsidRPr="001B04CD" w:rsidRDefault="0041615B" w:rsidP="0041615B">
            <w:pPr>
              <w:spacing w:before="100" w:beforeAutospacing="1" w:after="100" w:afterAutospacing="1" w:line="240" w:lineRule="auto"/>
              <w:jc w:val="both"/>
              <w:rPr>
                <w:rFonts w:ascii="Times New Roman" w:eastAsia="Times New Roman" w:hAnsi="Times New Roman" w:cs="Times New Roman"/>
                <w:b/>
                <w:bCs/>
                <w:sz w:val="24"/>
                <w:szCs w:val="24"/>
              </w:rPr>
            </w:pPr>
            <w:r w:rsidRPr="001B04CD">
              <w:rPr>
                <w:rFonts w:ascii="Times New Roman" w:eastAsia="Times New Roman" w:hAnsi="Times New Roman" w:cs="Times New Roman"/>
                <w:b/>
                <w:bCs/>
                <w:sz w:val="24"/>
                <w:szCs w:val="24"/>
              </w:rPr>
              <w:t>Rezervisani ugovori i socijalna inkluzija</w:t>
            </w:r>
          </w:p>
          <w:p w14:paraId="421685A7" w14:textId="77777777" w:rsidR="0041615B" w:rsidRPr="001B04CD" w:rsidRDefault="0041615B" w:rsidP="0041615B">
            <w:pPr>
              <w:pStyle w:val="NormalWeb"/>
              <w:rPr>
                <w:lang w:val="bs-Latn-BA"/>
              </w:rPr>
            </w:pPr>
            <w:r w:rsidRPr="001B04CD">
              <w:rPr>
                <w:lang w:val="bs-Latn-BA"/>
              </w:rPr>
              <w:t>Moguća rješenja su različitog obima. Status quo bi značio da socijalni kriteriji ostaju samo formalna mogućnost, bez obavezne primjene, što bi imalo minimalne efekte. Umjerena reforma bi podrazumijevala donošenje smjernica Agencije za javne nabavke, pilot-projekte socijalnih nabavki i uvođenje rezervisanih ugovora za invalidska preduzeća i zaštitne radionice. Ambiciozna opcija bi išla dalje, kroz zakonsku obavezu da određeni procenat postupaka uključuje socijalne kriterije, te uvođenje obaveznog izvještavanja o udjelu socijalnih nabavki u ukupnom sistemu.</w:t>
            </w:r>
          </w:p>
          <w:p w14:paraId="3972417A" w14:textId="77777777" w:rsidR="00CF3341" w:rsidRPr="001B04CD" w:rsidRDefault="00CF3341" w:rsidP="00CF3341">
            <w:pPr>
              <w:pStyle w:val="Heading3"/>
              <w:jc w:val="both"/>
              <w:rPr>
                <w:bCs w:val="0"/>
                <w:sz w:val="24"/>
                <w:szCs w:val="24"/>
                <w:lang w:val="bs-Latn-BA"/>
              </w:rPr>
            </w:pPr>
            <w:r w:rsidRPr="001B04CD">
              <w:rPr>
                <w:bCs w:val="0"/>
                <w:sz w:val="24"/>
                <w:szCs w:val="24"/>
                <w:lang w:val="bs-Latn-BA"/>
              </w:rPr>
              <w:t>Praćenje postupaka javnih nabavki i transparentnost</w:t>
            </w:r>
          </w:p>
          <w:p w14:paraId="1BE4F406" w14:textId="0FF6E2FC" w:rsidR="00CF3341" w:rsidRPr="001B04CD" w:rsidRDefault="00AF33F8" w:rsidP="0041615B">
            <w:pPr>
              <w:pStyle w:val="NormalWeb"/>
              <w:rPr>
                <w:lang w:val="bs-Latn-BA"/>
              </w:rPr>
            </w:pPr>
            <w:r w:rsidRPr="001B04CD">
              <w:rPr>
                <w:lang w:val="bs-Latn-BA"/>
              </w:rPr>
              <w:t>Opcija 1 – Status quo: Zadržavanje postojećeg stanja u kojem se izvještavanje vrši periodično, bez jedinstvenih indikatora i bez obavezne objave svih ugovora.</w:t>
            </w:r>
            <w:r w:rsidRPr="001B04CD">
              <w:rPr>
                <w:lang w:val="bs-Latn-BA"/>
              </w:rPr>
              <w:br/>
              <w:t>Opcija 2 – Umjerena reforma: Uvođenje obavezne objave svih ugovora i njihovih izmjena u informacionom sistemu; uvođenje osnovnih indikatora transparentnosti i godišnjih izvještaja o realizaciji ugovora.</w:t>
            </w:r>
            <w:r w:rsidRPr="001B04CD">
              <w:rPr>
                <w:lang w:val="bs-Latn-BA"/>
              </w:rPr>
              <w:br/>
              <w:t>Opcija 3 – Proaktivni model: Potpuna digitalizacija praćenja kroz e-Nabavke; automatsko generisanje pokazatelja rizika; jačanje institucionalnih kapaciteta AJN, APIK-a i revizorskih tijela za zajedničko praćenje i analizu trendova; objava interaktivnih analitičkih izvještaja</w:t>
            </w:r>
            <w:r w:rsidR="00033349" w:rsidRPr="001B04CD">
              <w:rPr>
                <w:lang w:val="bs-Latn-BA"/>
              </w:rPr>
              <w:t>.</w:t>
            </w:r>
          </w:p>
          <w:p w14:paraId="44BA7DDC" w14:textId="77777777" w:rsidR="00033349" w:rsidRPr="001B04CD" w:rsidRDefault="00033349" w:rsidP="00033349">
            <w:pPr>
              <w:pStyle w:val="Heading3"/>
              <w:jc w:val="both"/>
              <w:rPr>
                <w:bCs w:val="0"/>
                <w:sz w:val="24"/>
                <w:szCs w:val="24"/>
                <w:lang w:val="bs-Latn-BA"/>
              </w:rPr>
            </w:pPr>
            <w:r w:rsidRPr="001B04CD">
              <w:rPr>
                <w:bCs w:val="0"/>
                <w:sz w:val="24"/>
                <w:szCs w:val="24"/>
                <w:lang w:val="bs-Latn-BA"/>
              </w:rPr>
              <w:t>Žalbeni postupci</w:t>
            </w:r>
          </w:p>
          <w:p w14:paraId="23627B1E" w14:textId="036DF258" w:rsidR="00033349" w:rsidRPr="001B04CD" w:rsidRDefault="00033349" w:rsidP="00033349">
            <w:pPr>
              <w:pStyle w:val="Heading3"/>
              <w:jc w:val="both"/>
              <w:rPr>
                <w:b w:val="0"/>
                <w:sz w:val="24"/>
                <w:szCs w:val="24"/>
                <w:lang w:val="bs-Latn-BA"/>
              </w:rPr>
            </w:pPr>
            <w:r w:rsidRPr="001B04CD">
              <w:rPr>
                <w:b w:val="0"/>
                <w:sz w:val="24"/>
                <w:szCs w:val="24"/>
                <w:lang w:val="bs-Latn-BA"/>
              </w:rPr>
              <w:t>Opcija 1 – Status quo: Nastavak postojećeg sistema s visokim brojem predmeta i nedovoljno digitaliziranim procesima.</w:t>
            </w:r>
            <w:r w:rsidRPr="001B04CD">
              <w:rPr>
                <w:b w:val="0"/>
                <w:sz w:val="24"/>
                <w:szCs w:val="24"/>
                <w:lang w:val="bs-Latn-BA"/>
              </w:rPr>
              <w:br/>
              <w:t>Opcija 2 – Digitalizacija i racionalizacija: Uvođenje elektronskog sistema za podnošenje žalbi, automatske validacije rokova i dokumentacije, te filtriranje očigledno neosnovanih žalbi putem procesnih mehanizama.</w:t>
            </w:r>
            <w:r w:rsidRPr="001B04CD">
              <w:rPr>
                <w:b w:val="0"/>
                <w:sz w:val="24"/>
                <w:szCs w:val="24"/>
                <w:lang w:val="bs-Latn-BA"/>
              </w:rPr>
              <w:br/>
              <w:t xml:space="preserve">Opcija 3 – Strukturna reforma: Redefinisanje organizacije URŽ-a, uvođenje preliminarnog </w:t>
            </w:r>
            <w:r w:rsidRPr="001B04CD">
              <w:rPr>
                <w:b w:val="0"/>
                <w:sz w:val="24"/>
                <w:szCs w:val="24"/>
                <w:lang w:val="bs-Latn-BA"/>
              </w:rPr>
              <w:lastRenderedPageBreak/>
              <w:t>pregleda osnovanosti žalbe (screening), mogućnost naknade troškova ugovornim organima kod očito neosnovanih žalbi, te usklađivanje s praksom EU direktiva.</w:t>
            </w:r>
          </w:p>
          <w:p w14:paraId="63F83948" w14:textId="77777777" w:rsidR="00033349" w:rsidRPr="001B04CD" w:rsidRDefault="00033349" w:rsidP="0041615B">
            <w:pPr>
              <w:pStyle w:val="NormalWeb"/>
              <w:rPr>
                <w:lang w:val="bs-Latn-BA"/>
              </w:rPr>
            </w:pPr>
          </w:p>
          <w:p w14:paraId="75122A29" w14:textId="77777777" w:rsidR="00792194" w:rsidRPr="001B04CD" w:rsidRDefault="00792194" w:rsidP="0038084E">
            <w:pPr>
              <w:spacing w:before="100" w:beforeAutospacing="1" w:after="100" w:afterAutospacing="1" w:line="240" w:lineRule="auto"/>
              <w:jc w:val="both"/>
              <w:rPr>
                <w:rFonts w:ascii="Times New Roman" w:eastAsia="Times New Roman" w:hAnsi="Times New Roman" w:cs="Times New Roman"/>
                <w:sz w:val="24"/>
                <w:szCs w:val="24"/>
              </w:rPr>
            </w:pPr>
          </w:p>
        </w:tc>
      </w:tr>
      <w:tr w:rsidR="00F92C68" w:rsidRPr="001B04CD" w14:paraId="79250F44" w14:textId="77777777"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14:paraId="72B3DCA8" w14:textId="77777777" w:rsidR="00F92C68" w:rsidRPr="001B04CD" w:rsidRDefault="00F92C68" w:rsidP="00EF61B4">
            <w:pPr>
              <w:spacing w:after="0" w:line="240" w:lineRule="auto"/>
              <w:rPr>
                <w:rFonts w:ascii="Times New Roman" w:eastAsia="Arial Unicode MS" w:hAnsi="Times New Roman" w:cs="Times New Roman"/>
                <w:b/>
                <w:bCs/>
                <w:sz w:val="24"/>
                <w:szCs w:val="24"/>
                <w:lang w:eastAsia="ja-JP"/>
              </w:rPr>
            </w:pPr>
            <w:r w:rsidRPr="001B04CD">
              <w:rPr>
                <w:rFonts w:ascii="Times New Roman" w:eastAsia="Arial Unicode MS" w:hAnsi="Times New Roman" w:cs="Times New Roman"/>
                <w:b/>
                <w:bCs/>
                <w:sz w:val="24"/>
                <w:szCs w:val="24"/>
                <w:lang w:eastAsia="ja-JP"/>
              </w:rPr>
              <w:lastRenderedPageBreak/>
              <w:t xml:space="preserve">5. PROCJENA UTICAJA </w:t>
            </w:r>
            <w:r w:rsidRPr="001B04CD">
              <w:rPr>
                <w:rFonts w:ascii="Times New Roman" w:eastAsia="Times New Roman" w:hAnsi="Times New Roman" w:cs="Times New Roman"/>
                <w:b/>
                <w:bCs/>
                <w:sz w:val="24"/>
                <w:szCs w:val="24"/>
              </w:rPr>
              <w:t>MOGUĆIH RJEŠENJA</w:t>
            </w:r>
          </w:p>
        </w:tc>
      </w:tr>
      <w:tr w:rsidR="00F92C68" w:rsidRPr="001B04CD" w14:paraId="7BDD83E4" w14:textId="77777777"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14:paraId="1DC795D2" w14:textId="77777777" w:rsidR="003031BE" w:rsidRPr="001B04CD" w:rsidRDefault="003031BE" w:rsidP="006C0E76">
            <w:pPr>
              <w:spacing w:after="0" w:line="240" w:lineRule="auto"/>
              <w:jc w:val="both"/>
              <w:rPr>
                <w:rFonts w:ascii="Times New Roman" w:hAnsi="Times New Roman" w:cs="Times New Roman"/>
                <w:b/>
                <w:sz w:val="24"/>
                <w:szCs w:val="24"/>
              </w:rPr>
            </w:pPr>
            <w:r w:rsidRPr="001B04CD">
              <w:rPr>
                <w:rFonts w:ascii="Times New Roman" w:hAnsi="Times New Roman" w:cs="Times New Roman"/>
                <w:b/>
                <w:sz w:val="24"/>
                <w:szCs w:val="24"/>
              </w:rPr>
              <w:t>Koluzija i ograničena konkurencija</w:t>
            </w:r>
          </w:p>
          <w:p w14:paraId="0CCB6558" w14:textId="77777777" w:rsidR="00585BA5" w:rsidRPr="001B04CD" w:rsidRDefault="00585BA5" w:rsidP="006C0E76">
            <w:pPr>
              <w:spacing w:after="0" w:line="240" w:lineRule="auto"/>
              <w:jc w:val="both"/>
              <w:rPr>
                <w:rFonts w:ascii="Times New Roman" w:hAnsi="Times New Roman" w:cs="Times New Roman"/>
                <w:b/>
                <w:sz w:val="24"/>
                <w:szCs w:val="24"/>
              </w:rPr>
            </w:pPr>
          </w:p>
          <w:p w14:paraId="71FBA274" w14:textId="77777777" w:rsidR="00F92C68" w:rsidRPr="001B04CD" w:rsidRDefault="003031BE" w:rsidP="006C0E76">
            <w:pPr>
              <w:spacing w:after="0" w:line="240" w:lineRule="auto"/>
              <w:jc w:val="both"/>
              <w:rPr>
                <w:rFonts w:ascii="Times New Roman" w:hAnsi="Times New Roman" w:cs="Times New Roman"/>
                <w:sz w:val="24"/>
                <w:szCs w:val="24"/>
              </w:rPr>
            </w:pPr>
            <w:r w:rsidRPr="001B04CD">
              <w:rPr>
                <w:rFonts w:ascii="Times New Roman" w:hAnsi="Times New Roman" w:cs="Times New Roman"/>
                <w:sz w:val="24"/>
                <w:szCs w:val="24"/>
              </w:rPr>
              <w:t>Zadržavanje statusa quo imalo bi nizak ili nikakav uticaj, jer bi problem ostao prisutan. Uvođenje koluzije kao profesionalnog propusta može imati umjereni uticaj, ali samo ako se obezbijedi jasna procedura dokazivanja i odgovarajuća obuka službenika. Proaktivne mjere imale bi najveći uticaj na tržište, jer bi značajno smanjile rizik kartelskog ponašanja, povećale broj ponuda i smanjile cijene, ali zahtijevaju dodatne resurse i izgradnju kapaciteta.</w:t>
            </w:r>
          </w:p>
          <w:p w14:paraId="5D9432E7" w14:textId="77777777" w:rsidR="00FC410C" w:rsidRPr="001B04CD" w:rsidRDefault="00FC410C" w:rsidP="006C0E76">
            <w:pPr>
              <w:pStyle w:val="Heading3"/>
              <w:jc w:val="both"/>
              <w:rPr>
                <w:sz w:val="24"/>
                <w:szCs w:val="24"/>
                <w:lang w:val="bs-Latn-BA"/>
              </w:rPr>
            </w:pPr>
            <w:r w:rsidRPr="001B04CD">
              <w:rPr>
                <w:sz w:val="24"/>
                <w:szCs w:val="24"/>
                <w:lang w:val="bs-Latn-BA"/>
              </w:rPr>
              <w:t>Zelene i društveno odgovorne nabavke</w:t>
            </w:r>
          </w:p>
          <w:p w14:paraId="19719E03" w14:textId="77777777" w:rsidR="006C0E76" w:rsidRPr="001B04CD" w:rsidRDefault="006C0E76" w:rsidP="006C0E7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Za svaku od navedenih opcija treba razmotriti fiskalne, ekonomske, socijalne i okolišne aspekte.</w:t>
            </w:r>
          </w:p>
          <w:p w14:paraId="36C7A79E" w14:textId="77777777" w:rsidR="006C0E76" w:rsidRPr="001B04CD" w:rsidRDefault="006C0E76" w:rsidP="006C0E7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Fiskalni uticaj: Kod održavanja statusa quo fiskalni učinci su minimalni (nema dodatnih troškova), ali i nema ušteda. Kod umjerene i ambiciozne opcije očekuju se inicijalni troškovi: razvoj i održavanje LCC-alata, obuke i eventualna sufinanciranja za pilot-nabavke. Ti troškovi su jednokratni i srednjoročni, a mogu se financirati iz budžeta Agencije, pomoćnih EU fondova ili tehničke pomoći. S druge strane, primjena troška životnog vijeka i zelenih specifikacija često dovodi do smanjenja operativnih troškova (niža potrošnja energije, niži troškovi održavanja, manji troškovi zbrinjavanja) te putem toga realnih fiskalnih ušteda kroz nekoliko godina. Dakle, neto fiskalni utjecaj u srednjem roku može biti pozitivan — veće inicijalne investicije, zatim uštede u radu i održavanju.</w:t>
            </w:r>
          </w:p>
          <w:p w14:paraId="247619AA" w14:textId="77777777" w:rsidR="006C0E76" w:rsidRPr="001B04CD" w:rsidRDefault="006C0E76" w:rsidP="006C0E7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Ekonomski uticaj: Umjerene i ambiciozne mjere podstiču razvoj tržišta za zelene proizvode i usluge, što generira potražnju za inovacijama i može stimulirati lokalne investicije. MSP će možda trebati prilagodbu (troškovi usklađivanja), ali s druge strane dobit će nove tržišne prilike. Ako se u zakon ubace jasne metode za ekvivalentnost i potpore za prilagodbu, negativan utjecaj na konkurenciju može se ublažiti.</w:t>
            </w:r>
          </w:p>
          <w:p w14:paraId="61C34A40" w14:textId="77777777" w:rsidR="006C0E76" w:rsidRPr="001B04CD" w:rsidRDefault="006C0E76" w:rsidP="006C0E7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Socijalni uticaj: Uvođenje zelenih i socijalnih kriterija doprinosi boljem javnom zdravlju (manje zagađenje), stvaranju radnih mjesta u zelenim sektorima i boljoj socijalnoj inkluziji (ako se povežu s rezervisanim ugovorima i socijalnim zadrugama). Također podiže povjerenje javnosti u odgovorno trošenje javnih sredstava.</w:t>
            </w:r>
          </w:p>
          <w:p w14:paraId="1C045BA2" w14:textId="77777777" w:rsidR="006C0E76" w:rsidRPr="001B04CD" w:rsidRDefault="006C0E76" w:rsidP="006C0E76">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Okolišni uticaj: Najdirektniji učinak: smanjenje emisija stakleničkih gasova, manji utjecaj na kvalitet zraka i vode, veći udio recikliranih materijala i bolje upravljanje otpadom. Količina smanjenja ovisi o opsegu primjene: ambiciozna opcija ima najveći potencijal.</w:t>
            </w:r>
          </w:p>
          <w:p w14:paraId="6E3C1C48" w14:textId="77777777" w:rsidR="00FC410C" w:rsidRPr="001B04CD" w:rsidRDefault="006C0E76" w:rsidP="0038084E">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Administrativni utjecaj: Umjerena i ambiciozna opcija povećavaju administrativni teret kod uvođenja novih procedura, provjere dokaza i LCC-analiza. Taj teret je upravljiv ako se osiguraju standardizirani obrasci, alat i obuke; bez toga teret može obeshrabriti ugovorne organe.</w:t>
            </w:r>
          </w:p>
          <w:p w14:paraId="1315EC79" w14:textId="77777777" w:rsidR="00692A17" w:rsidRPr="001B04CD" w:rsidRDefault="00692A17" w:rsidP="00692A17">
            <w:pPr>
              <w:pStyle w:val="Heading3"/>
              <w:jc w:val="both"/>
              <w:rPr>
                <w:sz w:val="24"/>
                <w:szCs w:val="24"/>
                <w:lang w:val="bs-Latn-BA"/>
              </w:rPr>
            </w:pPr>
            <w:r w:rsidRPr="001B04CD">
              <w:rPr>
                <w:sz w:val="24"/>
                <w:szCs w:val="24"/>
                <w:lang w:val="bs-Latn-BA"/>
              </w:rPr>
              <w:lastRenderedPageBreak/>
              <w:t>Digitalizacija i e-Nabavke</w:t>
            </w:r>
          </w:p>
          <w:p w14:paraId="4B1D8A3D" w14:textId="77777777" w:rsidR="00692A17" w:rsidRPr="001B04CD" w:rsidRDefault="00692A17" w:rsidP="00692A1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Symbol" w:cs="Times New Roman"/>
                <w:sz w:val="24"/>
                <w:szCs w:val="24"/>
              </w:rPr>
              <w:t></w:t>
            </w:r>
            <w:r w:rsidRPr="001B04CD">
              <w:rPr>
                <w:rFonts w:ascii="Times New Roman" w:eastAsia="Times New Roman" w:hAnsi="Times New Roman" w:cs="Times New Roman"/>
                <w:sz w:val="24"/>
                <w:szCs w:val="24"/>
              </w:rPr>
              <w:t xml:space="preserve">  </w:t>
            </w:r>
            <w:r w:rsidRPr="001B04CD">
              <w:rPr>
                <w:rFonts w:ascii="Times New Roman" w:eastAsia="Times New Roman" w:hAnsi="Times New Roman" w:cs="Times New Roman"/>
                <w:bCs/>
                <w:sz w:val="24"/>
                <w:szCs w:val="24"/>
              </w:rPr>
              <w:t>Fiskalni uticaj</w:t>
            </w:r>
            <w:r w:rsidRPr="001B04CD">
              <w:rPr>
                <w:rFonts w:ascii="Times New Roman" w:eastAsia="Times New Roman" w:hAnsi="Times New Roman" w:cs="Times New Roman"/>
                <w:sz w:val="24"/>
                <w:szCs w:val="24"/>
              </w:rPr>
              <w:t>: zahtijeva inicijalna ulaganja (razvoj modula, integracija registara, hosting, održavanje, licence), ali dugoročno donosi uštede kroz smanjene administrativne troškove i efikasnije postupke.</w:t>
            </w:r>
          </w:p>
          <w:p w14:paraId="474D2D69" w14:textId="77777777" w:rsidR="00692A17" w:rsidRPr="001B04CD" w:rsidRDefault="00692A17" w:rsidP="00692A1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Symbol" w:cs="Times New Roman"/>
                <w:sz w:val="24"/>
                <w:szCs w:val="24"/>
              </w:rPr>
              <w:t></w:t>
            </w:r>
            <w:r w:rsidRPr="001B04CD">
              <w:rPr>
                <w:rFonts w:ascii="Times New Roman" w:eastAsia="Times New Roman" w:hAnsi="Times New Roman" w:cs="Times New Roman"/>
                <w:sz w:val="24"/>
                <w:szCs w:val="24"/>
              </w:rPr>
              <w:t xml:space="preserve">  </w:t>
            </w:r>
            <w:r w:rsidRPr="001B04CD">
              <w:rPr>
                <w:rFonts w:ascii="Times New Roman" w:eastAsia="Times New Roman" w:hAnsi="Times New Roman" w:cs="Times New Roman"/>
                <w:bCs/>
                <w:sz w:val="24"/>
                <w:szCs w:val="24"/>
              </w:rPr>
              <w:t>Ekonomski uticaj</w:t>
            </w:r>
            <w:r w:rsidRPr="001B04CD">
              <w:rPr>
                <w:rFonts w:ascii="Times New Roman" w:eastAsia="Times New Roman" w:hAnsi="Times New Roman" w:cs="Times New Roman"/>
                <w:sz w:val="24"/>
                <w:szCs w:val="24"/>
              </w:rPr>
              <w:t>: olakšava pristup MSP-ovima, smanjuje barijere i troškove učešća, povećava konkurenciju.</w:t>
            </w:r>
          </w:p>
          <w:p w14:paraId="76D3FA85" w14:textId="77777777" w:rsidR="00692A17" w:rsidRPr="001B04CD" w:rsidRDefault="00692A17" w:rsidP="00692A1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Symbol" w:cs="Times New Roman"/>
                <w:sz w:val="24"/>
                <w:szCs w:val="24"/>
              </w:rPr>
              <w:t></w:t>
            </w:r>
            <w:r w:rsidRPr="001B04CD">
              <w:rPr>
                <w:rFonts w:ascii="Times New Roman" w:eastAsia="Times New Roman" w:hAnsi="Times New Roman" w:cs="Times New Roman"/>
                <w:sz w:val="24"/>
                <w:szCs w:val="24"/>
              </w:rPr>
              <w:t xml:space="preserve">  </w:t>
            </w:r>
            <w:r w:rsidRPr="001B04CD">
              <w:rPr>
                <w:rFonts w:ascii="Times New Roman" w:eastAsia="Times New Roman" w:hAnsi="Times New Roman" w:cs="Times New Roman"/>
                <w:bCs/>
                <w:sz w:val="24"/>
                <w:szCs w:val="24"/>
              </w:rPr>
              <w:t>Socijalni uticaj</w:t>
            </w:r>
            <w:r w:rsidRPr="001B04CD">
              <w:rPr>
                <w:rFonts w:ascii="Times New Roman" w:eastAsia="Times New Roman" w:hAnsi="Times New Roman" w:cs="Times New Roman"/>
                <w:sz w:val="24"/>
                <w:szCs w:val="24"/>
              </w:rPr>
              <w:t>: povećava transparentnost i povjerenje građana u sistem, smanjuje prostor za nepravilnosti.</w:t>
            </w:r>
          </w:p>
          <w:p w14:paraId="3D3EB74E" w14:textId="77777777" w:rsidR="00692A17" w:rsidRPr="001B04CD" w:rsidRDefault="00692A17" w:rsidP="00692A1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Symbol" w:cs="Times New Roman"/>
                <w:sz w:val="24"/>
                <w:szCs w:val="24"/>
              </w:rPr>
              <w:t></w:t>
            </w:r>
            <w:r w:rsidRPr="001B04CD">
              <w:rPr>
                <w:rFonts w:ascii="Times New Roman" w:eastAsia="Times New Roman" w:hAnsi="Times New Roman" w:cs="Times New Roman"/>
                <w:sz w:val="24"/>
                <w:szCs w:val="24"/>
              </w:rPr>
              <w:t xml:space="preserve">  </w:t>
            </w:r>
            <w:r w:rsidRPr="001B04CD">
              <w:rPr>
                <w:rFonts w:ascii="Times New Roman" w:eastAsia="Times New Roman" w:hAnsi="Times New Roman" w:cs="Times New Roman"/>
                <w:bCs/>
                <w:sz w:val="24"/>
                <w:szCs w:val="24"/>
              </w:rPr>
              <w:t>Administrativni uticaj</w:t>
            </w:r>
            <w:r w:rsidRPr="001B04CD">
              <w:rPr>
                <w:rFonts w:ascii="Times New Roman" w:eastAsia="Times New Roman" w:hAnsi="Times New Roman" w:cs="Times New Roman"/>
                <w:sz w:val="24"/>
                <w:szCs w:val="24"/>
              </w:rPr>
              <w:t>: zahtijeva obuke i prilagodbu službenika, ali dugoročno rasterećuje administraciju i ubrzava postupke.</w:t>
            </w:r>
          </w:p>
          <w:p w14:paraId="55C91ACA" w14:textId="77777777" w:rsidR="009047F1" w:rsidRPr="001B04CD" w:rsidRDefault="009047F1" w:rsidP="009047F1">
            <w:pPr>
              <w:pStyle w:val="Heading3"/>
              <w:jc w:val="both"/>
              <w:rPr>
                <w:bCs w:val="0"/>
                <w:sz w:val="24"/>
                <w:szCs w:val="24"/>
                <w:lang w:val="bs-Latn-BA"/>
              </w:rPr>
            </w:pPr>
            <w:r w:rsidRPr="001B04CD">
              <w:rPr>
                <w:bCs w:val="0"/>
                <w:sz w:val="24"/>
                <w:szCs w:val="24"/>
                <w:lang w:val="bs-Latn-BA"/>
              </w:rPr>
              <w:t>Institucionalni i administrativni kapaciteti</w:t>
            </w:r>
          </w:p>
          <w:p w14:paraId="283520F5" w14:textId="77777777" w:rsidR="005A5806" w:rsidRPr="005A5806" w:rsidRDefault="005A5806" w:rsidP="005A5806">
            <w:pPr>
              <w:spacing w:before="100" w:beforeAutospacing="1" w:after="100" w:afterAutospacing="1" w:line="240" w:lineRule="auto"/>
              <w:rPr>
                <w:rFonts w:ascii="Times New Roman" w:eastAsia="Times New Roman" w:hAnsi="Times New Roman" w:cs="Times New Roman"/>
                <w:sz w:val="24"/>
                <w:szCs w:val="24"/>
              </w:rPr>
            </w:pPr>
            <w:r w:rsidRPr="005A5806">
              <w:rPr>
                <w:rFonts w:ascii="Times New Roman" w:eastAsia="Times New Roman" w:hAnsi="Times New Roman" w:cs="Times New Roman"/>
                <w:sz w:val="24"/>
                <w:szCs w:val="24"/>
              </w:rPr>
              <w:t>  Status quo: ne zahtijeva dodatna sredstva, ali održava postojeći nivo rizika i neujednačenosti prakse; povećava broj grešaka i žalbi; smanjuje povjerenje u sistem.</w:t>
            </w:r>
          </w:p>
          <w:p w14:paraId="193E2C80" w14:textId="77777777" w:rsidR="005A5806" w:rsidRPr="005A5806" w:rsidRDefault="005A5806" w:rsidP="005A5806">
            <w:pPr>
              <w:spacing w:before="100" w:beforeAutospacing="1" w:after="100" w:afterAutospacing="1" w:line="240" w:lineRule="auto"/>
              <w:rPr>
                <w:rFonts w:ascii="Times New Roman" w:eastAsia="Times New Roman" w:hAnsi="Times New Roman" w:cs="Times New Roman"/>
                <w:sz w:val="24"/>
                <w:szCs w:val="24"/>
              </w:rPr>
            </w:pPr>
            <w:r w:rsidRPr="005A5806">
              <w:rPr>
                <w:rFonts w:ascii="Times New Roman" w:eastAsia="Times New Roman" w:hAnsi="Times New Roman" w:cs="Times New Roman"/>
                <w:sz w:val="24"/>
                <w:szCs w:val="24"/>
              </w:rPr>
              <w:t>  Obavezna obuka i certifikacija (opcija 2): zahtijeva dodatna sredstva za razvoj programa, organizaciju obuka i certifikacionih ispita; koristi su višestruke – povećanje stručnosti, smanjenje proceduralnih grešaka, povećanje pravne sigurnosti i brzine postupaka.</w:t>
            </w:r>
          </w:p>
          <w:p w14:paraId="013DE7A5" w14:textId="77777777" w:rsidR="005A5806" w:rsidRPr="005A5806" w:rsidRDefault="005A5806" w:rsidP="005A5806">
            <w:pPr>
              <w:spacing w:before="100" w:beforeAutospacing="1" w:after="100" w:afterAutospacing="1" w:line="240" w:lineRule="auto"/>
              <w:rPr>
                <w:rFonts w:ascii="Times New Roman" w:eastAsia="Times New Roman" w:hAnsi="Times New Roman" w:cs="Times New Roman"/>
                <w:sz w:val="24"/>
                <w:szCs w:val="24"/>
              </w:rPr>
            </w:pPr>
            <w:r w:rsidRPr="005A5806">
              <w:rPr>
                <w:rFonts w:ascii="Times New Roman" w:eastAsia="Times New Roman" w:hAnsi="Times New Roman" w:cs="Times New Roman"/>
                <w:sz w:val="24"/>
                <w:szCs w:val="24"/>
              </w:rPr>
              <w:t>  Profesionalizacija i institucionalna podrška (opcija 3): inicijalno veći fiskalni zahtjevi, ali dugoročno najisplativiji model; omogućava standardizaciju i održivost sistema; smanjuje troškove grešaka i žalbi, te povećava efikasnost i integritet.</w:t>
            </w:r>
          </w:p>
          <w:p w14:paraId="74F03F52" w14:textId="77777777" w:rsidR="00687378" w:rsidRPr="001B04CD" w:rsidRDefault="00687378" w:rsidP="00687378">
            <w:pPr>
              <w:pStyle w:val="Heading3"/>
              <w:jc w:val="both"/>
              <w:rPr>
                <w:bCs w:val="0"/>
                <w:sz w:val="24"/>
                <w:szCs w:val="24"/>
                <w:lang w:val="bs-Latn-BA"/>
              </w:rPr>
            </w:pPr>
            <w:r w:rsidRPr="001B04CD">
              <w:rPr>
                <w:bCs w:val="0"/>
                <w:sz w:val="24"/>
                <w:szCs w:val="24"/>
                <w:lang w:val="bs-Latn-BA"/>
              </w:rPr>
              <w:t>Pristup malih i srednjih preduzeća (MSP) i inovacije</w:t>
            </w:r>
          </w:p>
          <w:p w14:paraId="75635D69" w14:textId="77777777" w:rsidR="00A068AC" w:rsidRPr="00A068AC" w:rsidRDefault="00A068AC" w:rsidP="00A068AC">
            <w:pPr>
              <w:spacing w:before="100" w:beforeAutospacing="1" w:after="100" w:afterAutospacing="1" w:line="240" w:lineRule="auto"/>
              <w:rPr>
                <w:rFonts w:ascii="Times New Roman" w:eastAsia="Times New Roman" w:hAnsi="Times New Roman" w:cs="Times New Roman"/>
                <w:sz w:val="24"/>
                <w:szCs w:val="24"/>
              </w:rPr>
            </w:pPr>
            <w:r w:rsidRPr="00A068AC">
              <w:rPr>
                <w:rFonts w:ascii="Times New Roman" w:eastAsia="Times New Roman" w:hAnsi="Times New Roman" w:cs="Times New Roman"/>
                <w:sz w:val="24"/>
                <w:szCs w:val="24"/>
              </w:rPr>
              <w:t xml:space="preserve">  </w:t>
            </w:r>
            <w:r w:rsidRPr="00A068AC">
              <w:rPr>
                <w:rFonts w:ascii="Times New Roman" w:eastAsia="Times New Roman" w:hAnsi="Times New Roman" w:cs="Times New Roman"/>
                <w:b/>
                <w:bCs/>
                <w:sz w:val="24"/>
                <w:szCs w:val="24"/>
              </w:rPr>
              <w:t>Status quo:</w:t>
            </w:r>
            <w:r w:rsidRPr="00A068AC">
              <w:rPr>
                <w:rFonts w:ascii="Times New Roman" w:eastAsia="Times New Roman" w:hAnsi="Times New Roman" w:cs="Times New Roman"/>
                <w:sz w:val="24"/>
                <w:szCs w:val="24"/>
              </w:rPr>
              <w:t xml:space="preserve"> ne donosi promjene, MSP i dalje marginalizovani, inovativni potencijal neiskorišten, povjerenje tržišta nisko.</w:t>
            </w:r>
          </w:p>
          <w:p w14:paraId="00038A85" w14:textId="77777777" w:rsidR="00A068AC" w:rsidRPr="00A068AC" w:rsidRDefault="00A068AC" w:rsidP="00A068AC">
            <w:pPr>
              <w:spacing w:before="100" w:beforeAutospacing="1" w:after="100" w:afterAutospacing="1" w:line="240" w:lineRule="auto"/>
              <w:rPr>
                <w:rFonts w:ascii="Times New Roman" w:eastAsia="Times New Roman" w:hAnsi="Times New Roman" w:cs="Times New Roman"/>
                <w:sz w:val="24"/>
                <w:szCs w:val="24"/>
              </w:rPr>
            </w:pPr>
            <w:r w:rsidRPr="00A068AC">
              <w:rPr>
                <w:rFonts w:ascii="Times New Roman" w:eastAsia="Times New Roman" w:hAnsi="Times New Roman" w:cs="Times New Roman"/>
                <w:sz w:val="24"/>
                <w:szCs w:val="24"/>
              </w:rPr>
              <w:t xml:space="preserve">  </w:t>
            </w:r>
            <w:r w:rsidRPr="00A068AC">
              <w:rPr>
                <w:rFonts w:ascii="Times New Roman" w:eastAsia="Times New Roman" w:hAnsi="Times New Roman" w:cs="Times New Roman"/>
                <w:b/>
                <w:bCs/>
                <w:sz w:val="24"/>
                <w:szCs w:val="24"/>
              </w:rPr>
              <w:t>Mjere za olakšavanje pristupa MSP (opcija 2):</w:t>
            </w:r>
            <w:r w:rsidRPr="00A068AC">
              <w:rPr>
                <w:rFonts w:ascii="Times New Roman" w:eastAsia="Times New Roman" w:hAnsi="Times New Roman" w:cs="Times New Roman"/>
                <w:sz w:val="24"/>
                <w:szCs w:val="24"/>
              </w:rPr>
              <w:t xml:space="preserve"> umjeren fiskalni uticaj (minimalne promjene u procedurama, obuka službenika), uz značajno povećanje konkurencije i veći broj ponuda po postupku.</w:t>
            </w:r>
          </w:p>
          <w:p w14:paraId="22E5D015" w14:textId="77777777" w:rsidR="00A068AC" w:rsidRPr="00A068AC" w:rsidRDefault="00A068AC" w:rsidP="00A068AC">
            <w:pPr>
              <w:spacing w:before="100" w:beforeAutospacing="1" w:after="100" w:afterAutospacing="1" w:line="240" w:lineRule="auto"/>
              <w:rPr>
                <w:rFonts w:ascii="Times New Roman" w:eastAsia="Times New Roman" w:hAnsi="Times New Roman" w:cs="Times New Roman"/>
                <w:sz w:val="24"/>
                <w:szCs w:val="24"/>
              </w:rPr>
            </w:pPr>
            <w:r w:rsidRPr="00A068AC">
              <w:rPr>
                <w:rFonts w:ascii="Times New Roman" w:eastAsia="Times New Roman" w:hAnsi="Times New Roman" w:cs="Times New Roman"/>
                <w:sz w:val="24"/>
                <w:szCs w:val="24"/>
              </w:rPr>
              <w:t xml:space="preserve">  </w:t>
            </w:r>
            <w:r w:rsidRPr="00A068AC">
              <w:rPr>
                <w:rFonts w:ascii="Times New Roman" w:eastAsia="Times New Roman" w:hAnsi="Times New Roman" w:cs="Times New Roman"/>
                <w:b/>
                <w:bCs/>
                <w:sz w:val="24"/>
                <w:szCs w:val="24"/>
              </w:rPr>
              <w:t>Proaktivni model (opcija 3):</w:t>
            </w:r>
            <w:r w:rsidRPr="00A068AC">
              <w:rPr>
                <w:rFonts w:ascii="Times New Roman" w:eastAsia="Times New Roman" w:hAnsi="Times New Roman" w:cs="Times New Roman"/>
                <w:sz w:val="24"/>
                <w:szCs w:val="24"/>
              </w:rPr>
              <w:t xml:space="preserve"> zahtijeva početne troškove za uspostavu normativnog i institucionalnog okvira (posebni pravilnici, obuke, eventualni pilot projekti), ali donosi dugoročne koristi kroz razvoj tržišta, inovacije i rast MSP sektora.</w:t>
            </w:r>
            <w:r w:rsidRPr="00A068AC">
              <w:rPr>
                <w:rFonts w:ascii="Times New Roman" w:eastAsia="Times New Roman" w:hAnsi="Times New Roman" w:cs="Times New Roman"/>
                <w:sz w:val="24"/>
                <w:szCs w:val="24"/>
              </w:rPr>
              <w:br/>
              <w:t>Pozitivni efekti uključuju povećanje broja učesnika, inovativnost ponuda, smanjenje cijena kroz veću konkurenciju i diversifikaciju dobavljača.</w:t>
            </w:r>
          </w:p>
          <w:p w14:paraId="2A0AEFE6" w14:textId="77777777" w:rsidR="00AE6110" w:rsidRPr="001B04CD" w:rsidRDefault="00AE6110" w:rsidP="00AE6110">
            <w:pPr>
              <w:spacing w:before="100" w:beforeAutospacing="1" w:after="100" w:afterAutospacing="1" w:line="240" w:lineRule="auto"/>
              <w:jc w:val="both"/>
              <w:rPr>
                <w:rFonts w:ascii="Times New Roman" w:eastAsia="Times New Roman" w:hAnsi="Times New Roman" w:cs="Times New Roman"/>
                <w:b/>
                <w:bCs/>
                <w:sz w:val="24"/>
                <w:szCs w:val="24"/>
              </w:rPr>
            </w:pPr>
            <w:r w:rsidRPr="001B04CD">
              <w:rPr>
                <w:rFonts w:ascii="Times New Roman" w:eastAsia="Times New Roman" w:hAnsi="Times New Roman" w:cs="Times New Roman"/>
                <w:b/>
                <w:bCs/>
                <w:sz w:val="24"/>
                <w:szCs w:val="24"/>
              </w:rPr>
              <w:t>Rezervisani ugovori i socijalna inkluzija</w:t>
            </w:r>
          </w:p>
          <w:p w14:paraId="00A205C1" w14:textId="77777777" w:rsidR="0041615B" w:rsidRPr="001B04CD" w:rsidRDefault="0041615B" w:rsidP="0041615B">
            <w:pPr>
              <w:pStyle w:val="NormalWeb"/>
              <w:rPr>
                <w:lang w:val="bs-Latn-BA"/>
              </w:rPr>
            </w:pPr>
            <w:r w:rsidRPr="001B04CD">
              <w:rPr>
                <w:lang w:val="bs-Latn-BA"/>
              </w:rPr>
              <w:t xml:space="preserve">Procjena uticaja pokazuje da bi fiskalni efekti ovih mjera bili neutralni ili čak pozitivni, jer nema značajnih dodatnih troškova za budžet, dok bi se zapošljavanjem ranjivih grupa smanjili socijalni transferi. Ekonomski uticaji bili bi povoljni jer bi se ojačalo tržište socijalnih preduzeća i malih ponuđača. Socijalni uticaji su posebno značajni: veća inkluzija, </w:t>
            </w:r>
            <w:r w:rsidRPr="001B04CD">
              <w:rPr>
                <w:lang w:val="bs-Latn-BA"/>
              </w:rPr>
              <w:lastRenderedPageBreak/>
              <w:t>smanjenje diskriminacije, osnaživanje žena i marginalizovanih grupa. Administrativno, uvođenje novih procedura tražilo bi dodatne obuke i standardizovane obrasce, ali bi dugoročno opterećenje bilo smanjeno zahvaljujući jasno definisanim procedurama.</w:t>
            </w:r>
          </w:p>
          <w:p w14:paraId="0F3FAA3A" w14:textId="77777777" w:rsidR="00CF3341" w:rsidRPr="001B04CD" w:rsidRDefault="00CF3341" w:rsidP="00CF3341">
            <w:pPr>
              <w:pStyle w:val="Heading3"/>
              <w:jc w:val="both"/>
              <w:rPr>
                <w:bCs w:val="0"/>
                <w:sz w:val="24"/>
                <w:szCs w:val="24"/>
                <w:lang w:val="bs-Latn-BA"/>
              </w:rPr>
            </w:pPr>
            <w:r w:rsidRPr="001B04CD">
              <w:rPr>
                <w:bCs w:val="0"/>
                <w:sz w:val="24"/>
                <w:szCs w:val="24"/>
                <w:lang w:val="bs-Latn-BA"/>
              </w:rPr>
              <w:t>Praćenje postupaka javnih nabavki i transparentnost</w:t>
            </w:r>
          </w:p>
          <w:p w14:paraId="6421A272" w14:textId="77777777" w:rsidR="00AF33F8" w:rsidRPr="00AF33F8" w:rsidRDefault="00AF33F8" w:rsidP="00AF33F8">
            <w:pPr>
              <w:pStyle w:val="NormalWeb"/>
              <w:rPr>
                <w:lang w:val="bs-Latn-BA"/>
              </w:rPr>
            </w:pPr>
            <w:r w:rsidRPr="00AF33F8">
              <w:rPr>
                <w:lang w:val="bs-Latn-BA"/>
              </w:rPr>
              <w:t>  Status quo bi zadržao postojeće slabosti i rizike od nepravilnosti, uz minimalan fiskalni efekat, ali bez ikakvog napretka u transparentnosti.</w:t>
            </w:r>
          </w:p>
          <w:p w14:paraId="7961D8FC" w14:textId="77777777" w:rsidR="00AF33F8" w:rsidRPr="00AF33F8" w:rsidRDefault="00AF33F8" w:rsidP="00AF33F8">
            <w:pPr>
              <w:pStyle w:val="NormalWeb"/>
              <w:rPr>
                <w:lang w:val="bs-Latn-BA"/>
              </w:rPr>
            </w:pPr>
            <w:r w:rsidRPr="00AF33F8">
              <w:rPr>
                <w:lang w:val="bs-Latn-BA"/>
              </w:rPr>
              <w:t>  Umjerena reforma ima umjeren fiskalni uticaj (troškovi integracije objave ugovora i periodičnih izvještaja u e-Nabavke) uz visok pozitivan uticaj na povjerenje i prevenciju korupcije.</w:t>
            </w:r>
          </w:p>
          <w:p w14:paraId="39CE3921" w14:textId="77777777" w:rsidR="00AF33F8" w:rsidRPr="001B04CD" w:rsidRDefault="00AF33F8" w:rsidP="00AF33F8">
            <w:pPr>
              <w:pStyle w:val="NormalWeb"/>
              <w:rPr>
                <w:lang w:val="bs-Latn-BA"/>
              </w:rPr>
            </w:pPr>
            <w:r w:rsidRPr="00AF33F8">
              <w:rPr>
                <w:lang w:val="bs-Latn-BA"/>
              </w:rPr>
              <w:t>  Proaktivni model zahtijeva veće početne investicije u digitalnu infrastrukturu i obuku kadrova, ali donosi dugoročne koristi: smanjenje nepravilnosti, brže otkrivanje koluzivnih obrazaca i jačanje reputacije sistema javnih nabavki.</w:t>
            </w:r>
          </w:p>
          <w:p w14:paraId="682F5457" w14:textId="77777777" w:rsidR="00033349" w:rsidRPr="001B04CD" w:rsidRDefault="00033349" w:rsidP="00033349">
            <w:pPr>
              <w:pStyle w:val="Heading3"/>
              <w:jc w:val="both"/>
              <w:rPr>
                <w:bCs w:val="0"/>
                <w:sz w:val="24"/>
                <w:szCs w:val="24"/>
                <w:lang w:val="bs-Latn-BA"/>
              </w:rPr>
            </w:pPr>
            <w:r w:rsidRPr="001B04CD">
              <w:rPr>
                <w:bCs w:val="0"/>
                <w:sz w:val="24"/>
                <w:szCs w:val="24"/>
                <w:lang w:val="bs-Latn-BA"/>
              </w:rPr>
              <w:t>Žalbeni postupci</w:t>
            </w:r>
          </w:p>
          <w:p w14:paraId="13A631ED" w14:textId="77777777" w:rsidR="00033349" w:rsidRPr="00033349" w:rsidRDefault="00033349" w:rsidP="00033349">
            <w:pPr>
              <w:pStyle w:val="NormalWeb"/>
              <w:rPr>
                <w:lang w:val="bs-Latn-BA"/>
              </w:rPr>
            </w:pPr>
            <w:r w:rsidRPr="00033349">
              <w:rPr>
                <w:lang w:val="bs-Latn-BA"/>
              </w:rPr>
              <w:t>  Status quo: održava postojeće probleme; visoki transakcioni troškovi i produženi postupci.</w:t>
            </w:r>
          </w:p>
          <w:p w14:paraId="69D616B4" w14:textId="77777777" w:rsidR="00033349" w:rsidRPr="00033349" w:rsidRDefault="00033349" w:rsidP="00033349">
            <w:pPr>
              <w:pStyle w:val="NormalWeb"/>
              <w:rPr>
                <w:lang w:val="bs-Latn-BA"/>
              </w:rPr>
            </w:pPr>
            <w:r w:rsidRPr="00033349">
              <w:rPr>
                <w:lang w:val="bs-Latn-BA"/>
              </w:rPr>
              <w:t>  Digitalizacija i racionalizacija: srednji fiskalni trošak (IT razvoj, obuka, integracija u e-Nabavke), ali visok pozitivan uticaj na efikasnost i transparentnost.</w:t>
            </w:r>
          </w:p>
          <w:p w14:paraId="5531EDC7" w14:textId="77777777" w:rsidR="00033349" w:rsidRPr="00033349" w:rsidRDefault="00033349" w:rsidP="00033349">
            <w:pPr>
              <w:pStyle w:val="NormalWeb"/>
              <w:rPr>
                <w:lang w:val="bs-Latn-BA"/>
              </w:rPr>
            </w:pPr>
            <w:r w:rsidRPr="00033349">
              <w:rPr>
                <w:lang w:val="bs-Latn-BA"/>
              </w:rPr>
              <w:t>  Strukturna reforma: zahtijeva veće izmjene institucionalnog okvira i dodatne troškove, ali dugoročno značajno poboljšava vjerodostojnost sistema i odvraća od zloupotreba.</w:t>
            </w:r>
          </w:p>
          <w:p w14:paraId="306D324C" w14:textId="77777777" w:rsidR="00033349" w:rsidRPr="00AF33F8" w:rsidRDefault="00033349" w:rsidP="00AF33F8">
            <w:pPr>
              <w:pStyle w:val="NormalWeb"/>
              <w:rPr>
                <w:lang w:val="bs-Latn-BA"/>
              </w:rPr>
            </w:pPr>
          </w:p>
          <w:p w14:paraId="62C35D41" w14:textId="77777777" w:rsidR="00792194" w:rsidRPr="001B04CD" w:rsidRDefault="00792194" w:rsidP="0038084E">
            <w:pPr>
              <w:spacing w:before="100" w:beforeAutospacing="1" w:after="100" w:afterAutospacing="1" w:line="240" w:lineRule="auto"/>
              <w:jc w:val="both"/>
              <w:rPr>
                <w:rFonts w:ascii="Times New Roman" w:eastAsia="Times New Roman" w:hAnsi="Times New Roman" w:cs="Times New Roman"/>
                <w:sz w:val="24"/>
                <w:szCs w:val="24"/>
              </w:rPr>
            </w:pPr>
          </w:p>
        </w:tc>
      </w:tr>
      <w:tr w:rsidR="00F92C68" w:rsidRPr="001B04CD" w14:paraId="03385E74" w14:textId="77777777"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14:paraId="7C19C21A" w14:textId="77777777" w:rsidR="00F92C68" w:rsidRPr="001B04CD" w:rsidRDefault="00F92C68" w:rsidP="00EF61B4">
            <w:pPr>
              <w:spacing w:after="0" w:line="240" w:lineRule="auto"/>
              <w:rPr>
                <w:rFonts w:ascii="Times New Roman" w:eastAsia="Arial Unicode MS" w:hAnsi="Times New Roman" w:cs="Times New Roman"/>
                <w:b/>
                <w:bCs/>
                <w:sz w:val="24"/>
                <w:szCs w:val="24"/>
                <w:lang w:eastAsia="ja-JP"/>
              </w:rPr>
            </w:pPr>
            <w:r w:rsidRPr="001B04CD">
              <w:rPr>
                <w:rFonts w:ascii="Times New Roman" w:eastAsia="Arial Unicode MS" w:hAnsi="Times New Roman" w:cs="Times New Roman"/>
                <w:b/>
                <w:bCs/>
                <w:sz w:val="24"/>
                <w:szCs w:val="24"/>
                <w:lang w:eastAsia="ja-JP"/>
              </w:rPr>
              <w:lastRenderedPageBreak/>
              <w:t>6. KONSULTACIJE</w:t>
            </w:r>
          </w:p>
        </w:tc>
      </w:tr>
      <w:tr w:rsidR="00F92C68" w:rsidRPr="001B04CD" w14:paraId="6586AE1E" w14:textId="77777777"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14:paraId="248C371F" w14:textId="77777777" w:rsidR="00F92C68" w:rsidRPr="001B04CD" w:rsidRDefault="00F92C68" w:rsidP="00EF61B4">
            <w:pPr>
              <w:spacing w:after="0" w:line="240" w:lineRule="auto"/>
              <w:rPr>
                <w:rFonts w:ascii="Times New Roman" w:eastAsia="Arial Unicode MS" w:hAnsi="Times New Roman" w:cs="Times New Roman"/>
                <w:b/>
                <w:bCs/>
                <w:sz w:val="24"/>
                <w:szCs w:val="24"/>
                <w:lang w:eastAsia="ja-JP"/>
              </w:rPr>
            </w:pPr>
            <w:r w:rsidRPr="001B04CD">
              <w:rPr>
                <w:rFonts w:ascii="Times New Roman" w:eastAsia="Arial Unicode MS" w:hAnsi="Times New Roman" w:cs="Times New Roman"/>
                <w:b/>
                <w:bCs/>
                <w:sz w:val="24"/>
                <w:szCs w:val="24"/>
                <w:lang w:eastAsia="ja-JP"/>
              </w:rPr>
              <w:t>7. UPOREDNA ANALIZA PREDLOŽENIH RJEŠENJA</w:t>
            </w:r>
          </w:p>
          <w:p w14:paraId="322B75D5" w14:textId="77777777" w:rsidR="0038084E" w:rsidRPr="001B04CD" w:rsidRDefault="0038084E" w:rsidP="00EF61B4">
            <w:pPr>
              <w:spacing w:after="0" w:line="240" w:lineRule="auto"/>
              <w:rPr>
                <w:rFonts w:ascii="Times New Roman" w:eastAsia="Arial Unicode MS" w:hAnsi="Times New Roman" w:cs="Times New Roman"/>
                <w:b/>
                <w:bCs/>
                <w:sz w:val="24"/>
                <w:szCs w:val="24"/>
                <w:lang w:eastAsia="ja-JP"/>
              </w:rPr>
            </w:pPr>
          </w:p>
          <w:p w14:paraId="4854477E" w14:textId="77777777" w:rsidR="003031BE" w:rsidRPr="001B04CD" w:rsidRDefault="003031BE" w:rsidP="00EF61B4">
            <w:pPr>
              <w:spacing w:after="0" w:line="240" w:lineRule="auto"/>
              <w:rPr>
                <w:rFonts w:ascii="Times New Roman" w:eastAsia="Arial Unicode MS" w:hAnsi="Times New Roman" w:cs="Times New Roman"/>
                <w:b/>
                <w:bCs/>
                <w:sz w:val="24"/>
                <w:szCs w:val="24"/>
                <w:lang w:eastAsia="ja-JP"/>
              </w:rPr>
            </w:pPr>
            <w:r w:rsidRPr="001B04CD">
              <w:rPr>
                <w:rFonts w:ascii="Times New Roman" w:eastAsia="Arial Unicode MS" w:hAnsi="Times New Roman" w:cs="Times New Roman"/>
                <w:b/>
                <w:bCs/>
                <w:sz w:val="24"/>
                <w:szCs w:val="24"/>
                <w:lang w:eastAsia="ja-JP"/>
              </w:rPr>
              <w:t>Koluzija</w:t>
            </w:r>
            <w:r w:rsidR="00585BA5" w:rsidRPr="001B04CD">
              <w:rPr>
                <w:rFonts w:ascii="Times New Roman" w:eastAsia="Arial Unicode MS" w:hAnsi="Times New Roman" w:cs="Times New Roman"/>
                <w:b/>
                <w:bCs/>
                <w:sz w:val="24"/>
                <w:szCs w:val="24"/>
                <w:lang w:eastAsia="ja-JP"/>
              </w:rPr>
              <w:t xml:space="preserve"> i ograničena konkurencija</w:t>
            </w:r>
          </w:p>
          <w:p w14:paraId="644781D1" w14:textId="77777777" w:rsidR="0038084E" w:rsidRPr="001B04CD" w:rsidRDefault="0038084E" w:rsidP="00EF61B4">
            <w:pPr>
              <w:spacing w:after="0" w:line="240" w:lineRule="auto"/>
              <w:rPr>
                <w:rFonts w:ascii="Times New Roman" w:eastAsia="Arial Unicode MS" w:hAnsi="Times New Roman" w:cs="Times New Roman"/>
                <w:b/>
                <w:bCs/>
                <w:sz w:val="24"/>
                <w:szCs w:val="24"/>
                <w:lang w:eastAsia="ja-JP"/>
              </w:rPr>
            </w:pPr>
          </w:p>
          <w:p w14:paraId="264C0EFC" w14:textId="77777777" w:rsidR="003031BE" w:rsidRPr="001B04CD" w:rsidRDefault="003031BE" w:rsidP="00EF61B4">
            <w:pPr>
              <w:spacing w:after="0" w:line="240" w:lineRule="auto"/>
              <w:rPr>
                <w:rFonts w:ascii="Times New Roman" w:hAnsi="Times New Roman" w:cs="Times New Roman"/>
                <w:sz w:val="24"/>
                <w:szCs w:val="24"/>
              </w:rPr>
            </w:pPr>
            <w:r w:rsidRPr="001B04CD">
              <w:rPr>
                <w:rFonts w:ascii="Times New Roman" w:hAnsi="Times New Roman" w:cs="Times New Roman"/>
                <w:sz w:val="24"/>
                <w:szCs w:val="24"/>
              </w:rPr>
              <w:t>U poređenju sa rješenjem zadržavanja nadležnosti isključivo kod Konkurencijskog vijeća, opcija profesionalnog propusta je fleksibilnija i daje instrumente ugovornim organima. Međutim, sama po sebi ne donosi sistemsku promjenu. Najsnažnija opcija je kombinacija proaktivnih mjera i normativnog priznanja koluzije kao profesionalnog propusta. Ona osigurava preventivno djelovanje (screening, edukacija, saradnja institucija) i represivno djelovanje (isključenje ponuđača).</w:t>
            </w:r>
          </w:p>
          <w:p w14:paraId="291077B1" w14:textId="77777777" w:rsidR="00FC410C" w:rsidRPr="001B04CD" w:rsidRDefault="00FC410C" w:rsidP="00FC410C">
            <w:pPr>
              <w:pStyle w:val="Heading3"/>
              <w:jc w:val="both"/>
              <w:rPr>
                <w:sz w:val="24"/>
                <w:szCs w:val="24"/>
                <w:lang w:val="bs-Latn-BA"/>
              </w:rPr>
            </w:pPr>
            <w:r w:rsidRPr="001B04CD">
              <w:rPr>
                <w:sz w:val="24"/>
                <w:szCs w:val="24"/>
                <w:lang w:val="bs-Latn-BA"/>
              </w:rPr>
              <w:t>Zelene i društveno odgovorne nabavke</w:t>
            </w:r>
          </w:p>
          <w:p w14:paraId="77CC8841" w14:textId="77777777" w:rsidR="00CC049E" w:rsidRPr="001B04CD" w:rsidRDefault="00CC049E" w:rsidP="0038084E">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 xml:space="preserve">U poređenju opcija, status quo ima najmanje početne troškove i najniže političko trenje, ali i najmanji učinak — dakle, loša vrijednost za novac ako su ciljevi održivosti prioritet. Umjerena opcija pruža najbolji omjer koristi i troškova za većinu institucija: relativno male inicijalne troškove (izrada smjernica, LCC alata, obuke) u zamjenu za jasne i mjerljive rezultate (uštede u eksploataciji, smanjenje negativnih uticaja). Ambiciozna opcija donosi </w:t>
            </w:r>
            <w:r w:rsidRPr="001B04CD">
              <w:rPr>
                <w:rFonts w:ascii="Times New Roman" w:eastAsia="Times New Roman" w:hAnsi="Times New Roman" w:cs="Times New Roman"/>
                <w:sz w:val="24"/>
                <w:szCs w:val="24"/>
              </w:rPr>
              <w:lastRenderedPageBreak/>
              <w:t>najveće dugoročne koristi, ali zahtijeva snažnu političku volju, dodatna sredstava i dulji implementacijski period; rizik je veća operativna složenost i mogućnost privremenog pada konkurencije bez odgovarajućih mehanizama potpore.</w:t>
            </w:r>
          </w:p>
          <w:p w14:paraId="7C942656" w14:textId="77777777" w:rsidR="00FC410C" w:rsidRPr="001B04CD" w:rsidRDefault="00CC049E" w:rsidP="0038084E">
            <w:pPr>
              <w:spacing w:before="100" w:beforeAutospacing="1" w:after="100" w:afterAutospacing="1" w:line="240" w:lineRule="auto"/>
              <w:jc w:val="both"/>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Kada se uzmu u obzir stvarni kapaciteti u BiH (trenutno ograničeni kapaciteti AJN i ugovornih organa, ograničen broj certificiranih zelenih dobavljača), umjerena opcija s ciljem ciljane ambicije (prioritetne kategorije) daje najbolju ravnotežu između ostvarivosti i efekta. Ambiciozna opcija ima smisla kao srednjoročni cilj (faza 2), ali joj treba prethoditi pilot-implementacija i jačanje kapaciteta.</w:t>
            </w:r>
          </w:p>
          <w:p w14:paraId="5A8FB3D7" w14:textId="77777777" w:rsidR="00433009" w:rsidRPr="001B04CD" w:rsidRDefault="00433009" w:rsidP="00433009">
            <w:pPr>
              <w:pStyle w:val="Heading3"/>
              <w:jc w:val="both"/>
              <w:rPr>
                <w:b w:val="0"/>
                <w:sz w:val="24"/>
                <w:szCs w:val="24"/>
                <w:lang w:val="bs-Latn-BA"/>
              </w:rPr>
            </w:pPr>
            <w:r w:rsidRPr="001B04CD">
              <w:rPr>
                <w:b w:val="0"/>
                <w:sz w:val="24"/>
                <w:szCs w:val="24"/>
                <w:lang w:val="bs-Latn-BA"/>
              </w:rPr>
              <w:t>Digitalizacija i e-Nabavke</w:t>
            </w:r>
          </w:p>
          <w:p w14:paraId="55F33005" w14:textId="77777777" w:rsidR="00692A17" w:rsidRPr="001B04CD" w:rsidRDefault="00692A17" w:rsidP="00692A1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Symbol" w:cs="Times New Roman"/>
                <w:sz w:val="24"/>
                <w:szCs w:val="24"/>
              </w:rPr>
              <w:t></w:t>
            </w:r>
            <w:r w:rsidRPr="001B04CD">
              <w:rPr>
                <w:rFonts w:ascii="Times New Roman" w:eastAsia="Times New Roman" w:hAnsi="Times New Roman" w:cs="Times New Roman"/>
                <w:sz w:val="24"/>
                <w:szCs w:val="24"/>
              </w:rPr>
              <w:t xml:space="preserve">  Status quo: mali troškovi, ali bez efekata – problemi ostaju.</w:t>
            </w:r>
          </w:p>
          <w:p w14:paraId="6D8625C0" w14:textId="77777777" w:rsidR="00692A17" w:rsidRPr="001B04CD" w:rsidRDefault="00692A17" w:rsidP="00692A1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Symbol" w:cs="Times New Roman"/>
                <w:sz w:val="24"/>
                <w:szCs w:val="24"/>
              </w:rPr>
              <w:t></w:t>
            </w:r>
            <w:r w:rsidRPr="001B04CD">
              <w:rPr>
                <w:rFonts w:ascii="Times New Roman" w:eastAsia="Times New Roman" w:hAnsi="Times New Roman" w:cs="Times New Roman"/>
                <w:sz w:val="24"/>
                <w:szCs w:val="24"/>
              </w:rPr>
              <w:t xml:space="preserve">  Djelimična digitalizacija: određeni pomak, ali i dalje fragmentiran sistem, bez punih koristi.</w:t>
            </w:r>
          </w:p>
          <w:p w14:paraId="4E633335" w14:textId="77777777" w:rsidR="00692A17" w:rsidRPr="001B04CD" w:rsidRDefault="00692A17" w:rsidP="00692A1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Symbol" w:cs="Times New Roman"/>
                <w:sz w:val="24"/>
                <w:szCs w:val="24"/>
              </w:rPr>
              <w:t></w:t>
            </w:r>
            <w:r w:rsidRPr="001B04CD">
              <w:rPr>
                <w:rFonts w:ascii="Times New Roman" w:eastAsia="Times New Roman" w:hAnsi="Times New Roman" w:cs="Times New Roman"/>
                <w:sz w:val="24"/>
                <w:szCs w:val="24"/>
              </w:rPr>
              <w:t xml:space="preserve">  Potpuna digitalizacija i interoperabilnost: najskuplja u početku, ali donosi najveće dugoročne koristi – uštede, transparentnost, povećanje konkurencije, usklađenost sa EU standardima.</w:t>
            </w:r>
          </w:p>
          <w:p w14:paraId="30161F76" w14:textId="77777777" w:rsidR="009047F1" w:rsidRPr="001B04CD" w:rsidRDefault="009047F1" w:rsidP="009047F1">
            <w:pPr>
              <w:pStyle w:val="Heading3"/>
              <w:jc w:val="both"/>
              <w:rPr>
                <w:bCs w:val="0"/>
                <w:sz w:val="24"/>
                <w:szCs w:val="24"/>
                <w:lang w:val="bs-Latn-BA"/>
              </w:rPr>
            </w:pPr>
            <w:r w:rsidRPr="001B04CD">
              <w:rPr>
                <w:bCs w:val="0"/>
                <w:sz w:val="24"/>
                <w:szCs w:val="24"/>
                <w:lang w:val="bs-Latn-BA"/>
              </w:rPr>
              <w:t>Institucionalni i administrativni kapaciteti</w:t>
            </w:r>
          </w:p>
          <w:p w14:paraId="0C2E6F9D" w14:textId="77777777" w:rsidR="005A5806" w:rsidRPr="005A5806" w:rsidRDefault="005A5806" w:rsidP="005A5806">
            <w:pPr>
              <w:spacing w:before="100" w:beforeAutospacing="1" w:after="100" w:afterAutospacing="1" w:line="240" w:lineRule="auto"/>
              <w:rPr>
                <w:rFonts w:ascii="Times New Roman" w:eastAsia="Times New Roman" w:hAnsi="Times New Roman" w:cs="Times New Roman"/>
                <w:sz w:val="24"/>
                <w:szCs w:val="24"/>
              </w:rPr>
            </w:pPr>
            <w:r w:rsidRPr="005A5806">
              <w:rPr>
                <w:rFonts w:ascii="Times New Roman" w:eastAsia="Times New Roman" w:hAnsi="Times New Roman" w:cs="Times New Roman"/>
                <w:sz w:val="24"/>
                <w:szCs w:val="24"/>
              </w:rPr>
              <w:t>Iskustva država članica EU pokazuju da je profesionalizacija ključni element uspješnih reformi javnih nabavki:</w:t>
            </w:r>
          </w:p>
          <w:p w14:paraId="6C7C9D18" w14:textId="77777777" w:rsidR="005A5806" w:rsidRPr="005A5806" w:rsidRDefault="005A5806" w:rsidP="005A580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A5806">
              <w:rPr>
                <w:rFonts w:ascii="Times New Roman" w:eastAsia="Times New Roman" w:hAnsi="Times New Roman" w:cs="Times New Roman"/>
                <w:sz w:val="24"/>
                <w:szCs w:val="24"/>
              </w:rPr>
              <w:t>U Hrvatskoj i Sloveniji certifikacija službenika uvedena je kao obavezna (u Hrvatskoj kroz sustav Državne škole za javnu upravu), što je dovelo do smanjenja proceduralnih grešaka i povećanja kvaliteta dokumentacije.</w:t>
            </w:r>
          </w:p>
          <w:p w14:paraId="03A3915E" w14:textId="77777777" w:rsidR="005A5806" w:rsidRPr="005A5806" w:rsidRDefault="005A5806" w:rsidP="005A580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A5806">
              <w:rPr>
                <w:rFonts w:ascii="Times New Roman" w:eastAsia="Times New Roman" w:hAnsi="Times New Roman" w:cs="Times New Roman"/>
                <w:sz w:val="24"/>
                <w:szCs w:val="24"/>
              </w:rPr>
              <w:t>U Estoniji i Finskoj razvijeni su e-learning moduli i digitalne platforme za kontinuiranu edukaciju službenika, čime su smanjeni troškovi i omogućeno praćenje kompetencija u realnom vremenu.</w:t>
            </w:r>
          </w:p>
          <w:p w14:paraId="350C6923" w14:textId="77777777" w:rsidR="005A5806" w:rsidRPr="005A5806" w:rsidRDefault="005A5806" w:rsidP="005A580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A5806">
              <w:rPr>
                <w:rFonts w:ascii="Times New Roman" w:eastAsia="Times New Roman" w:hAnsi="Times New Roman" w:cs="Times New Roman"/>
                <w:sz w:val="24"/>
                <w:szCs w:val="24"/>
              </w:rPr>
              <w:t>OECD i SIGMA u više navrata naglašavaju da institucionalni kapaciteti predstavljaju “ključni preduvjet” za implementaciju svake reforme javnih nabavki (SIGMA Paper No. 63, 2022).</w:t>
            </w:r>
          </w:p>
          <w:p w14:paraId="1A7C5D5B" w14:textId="77777777" w:rsidR="009047F1" w:rsidRPr="001B04CD" w:rsidRDefault="009047F1" w:rsidP="00692A17">
            <w:pPr>
              <w:spacing w:before="100" w:beforeAutospacing="1" w:after="100" w:afterAutospacing="1" w:line="240" w:lineRule="auto"/>
              <w:rPr>
                <w:rFonts w:ascii="Times New Roman" w:eastAsia="Times New Roman" w:hAnsi="Times New Roman" w:cs="Times New Roman"/>
                <w:sz w:val="24"/>
                <w:szCs w:val="24"/>
              </w:rPr>
            </w:pPr>
          </w:p>
          <w:p w14:paraId="0955796C" w14:textId="77777777" w:rsidR="00687378" w:rsidRPr="001B04CD" w:rsidRDefault="00687378" w:rsidP="00687378">
            <w:pPr>
              <w:pStyle w:val="Heading3"/>
              <w:jc w:val="both"/>
              <w:rPr>
                <w:bCs w:val="0"/>
                <w:sz w:val="24"/>
                <w:szCs w:val="24"/>
                <w:lang w:val="bs-Latn-BA"/>
              </w:rPr>
            </w:pPr>
            <w:r w:rsidRPr="001B04CD">
              <w:rPr>
                <w:bCs w:val="0"/>
                <w:sz w:val="24"/>
                <w:szCs w:val="24"/>
                <w:lang w:val="bs-Latn-BA"/>
              </w:rPr>
              <w:t>Pristup malih i srednjih preduzeća (MSP) i inovacije</w:t>
            </w:r>
          </w:p>
          <w:p w14:paraId="05610E87" w14:textId="77777777" w:rsidR="00A068AC" w:rsidRPr="00A068AC" w:rsidRDefault="00A068AC" w:rsidP="00A068AC">
            <w:pPr>
              <w:spacing w:before="100" w:beforeAutospacing="1" w:after="100" w:afterAutospacing="1" w:line="240" w:lineRule="auto"/>
              <w:rPr>
                <w:rFonts w:ascii="Times New Roman" w:eastAsia="Times New Roman" w:hAnsi="Times New Roman" w:cs="Times New Roman"/>
                <w:sz w:val="24"/>
                <w:szCs w:val="24"/>
              </w:rPr>
            </w:pPr>
            <w:r w:rsidRPr="00A068AC">
              <w:rPr>
                <w:rFonts w:ascii="Times New Roman" w:eastAsia="Times New Roman" w:hAnsi="Times New Roman" w:cs="Times New Roman"/>
                <w:sz w:val="24"/>
                <w:szCs w:val="24"/>
              </w:rPr>
              <w:t>Iskustva država članica EU pokazuju da sistematske mjere za podršku MSP donose mjerljive rezultate.</w:t>
            </w:r>
          </w:p>
          <w:p w14:paraId="777715C0" w14:textId="77777777" w:rsidR="00A068AC" w:rsidRPr="00A068AC" w:rsidRDefault="00A068AC" w:rsidP="00A068A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068AC">
              <w:rPr>
                <w:rFonts w:ascii="Times New Roman" w:eastAsia="Times New Roman" w:hAnsi="Times New Roman" w:cs="Times New Roman"/>
                <w:sz w:val="24"/>
                <w:szCs w:val="24"/>
              </w:rPr>
              <w:t>U Hrvatskoj i Sloveniji podjela na lotove dovela je do povećanja broja MSP među dobavljačima za 20–30%.</w:t>
            </w:r>
          </w:p>
          <w:p w14:paraId="2E8A563F" w14:textId="77777777" w:rsidR="00A068AC" w:rsidRPr="00A068AC" w:rsidRDefault="00A068AC" w:rsidP="00A068A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068AC">
              <w:rPr>
                <w:rFonts w:ascii="Times New Roman" w:eastAsia="Times New Roman" w:hAnsi="Times New Roman" w:cs="Times New Roman"/>
                <w:sz w:val="24"/>
                <w:szCs w:val="24"/>
              </w:rPr>
              <w:t>U Finskoj i Nizozemskoj partnerstvo za inovacije omogućilo je razvoj inovativnih rješenja u javnom transportu, energetici i digitalnim uslugama, uz učešće start-up kompanija.</w:t>
            </w:r>
          </w:p>
          <w:p w14:paraId="0C1B6D28" w14:textId="77777777" w:rsidR="00A068AC" w:rsidRPr="00A068AC" w:rsidRDefault="00A068AC" w:rsidP="00A068A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068AC">
              <w:rPr>
                <w:rFonts w:ascii="Times New Roman" w:eastAsia="Times New Roman" w:hAnsi="Times New Roman" w:cs="Times New Roman"/>
                <w:sz w:val="24"/>
                <w:szCs w:val="24"/>
              </w:rPr>
              <w:lastRenderedPageBreak/>
              <w:t>Evropska komisija preporučuje da ugovorni organi u 30% vrijednosti javnih nabavki uključe MSP, a da najmanje 3% bude usmjereno na inovativne nabavke (Preporuka COM(2018) 305 final).</w:t>
            </w:r>
          </w:p>
          <w:p w14:paraId="4EB046DA" w14:textId="77777777" w:rsidR="00AE6110" w:rsidRPr="001B04CD" w:rsidRDefault="00AE6110" w:rsidP="00AE6110">
            <w:pPr>
              <w:spacing w:before="100" w:beforeAutospacing="1" w:after="100" w:afterAutospacing="1" w:line="240" w:lineRule="auto"/>
              <w:jc w:val="both"/>
              <w:rPr>
                <w:rFonts w:ascii="Times New Roman" w:eastAsia="Times New Roman" w:hAnsi="Times New Roman" w:cs="Times New Roman"/>
                <w:b/>
                <w:bCs/>
                <w:sz w:val="24"/>
                <w:szCs w:val="24"/>
              </w:rPr>
            </w:pPr>
            <w:r w:rsidRPr="001B04CD">
              <w:rPr>
                <w:rFonts w:ascii="Times New Roman" w:eastAsia="Times New Roman" w:hAnsi="Times New Roman" w:cs="Times New Roman"/>
                <w:b/>
                <w:bCs/>
                <w:sz w:val="24"/>
                <w:szCs w:val="24"/>
              </w:rPr>
              <w:t>Rezervisani ugovori i socijalna inkluzija</w:t>
            </w:r>
          </w:p>
          <w:p w14:paraId="6DF5BDC3" w14:textId="77777777" w:rsidR="00AE6110" w:rsidRPr="001B04CD" w:rsidRDefault="001F1A7E" w:rsidP="001F1A7E">
            <w:pPr>
              <w:pStyle w:val="NormalWeb"/>
              <w:rPr>
                <w:lang w:val="bs-Latn-BA"/>
              </w:rPr>
            </w:pPr>
            <w:r w:rsidRPr="001B04CD">
              <w:rPr>
                <w:lang w:val="bs-Latn-BA"/>
              </w:rPr>
              <w:t>Uporedna analiza opcija pokazuje da status quo donosi zanemarljive koristi, dok ambiciozna opcija ima maksimalan socijalni učinak, ali zahtijeva visoke kapacitete i političku volju. Najbolji balans troškova i koristi postiže se kroz umjerenu reformu, koja omogućava realne i brze rezultate, uz mogućnost postepenog prelaska na ambicioznije ciljeve.</w:t>
            </w:r>
          </w:p>
          <w:p w14:paraId="662892D1" w14:textId="77777777" w:rsidR="00CF3341" w:rsidRPr="001B04CD" w:rsidRDefault="00CF3341" w:rsidP="00CF3341">
            <w:pPr>
              <w:pStyle w:val="Heading3"/>
              <w:jc w:val="both"/>
              <w:rPr>
                <w:bCs w:val="0"/>
                <w:sz w:val="24"/>
                <w:szCs w:val="24"/>
                <w:lang w:val="bs-Latn-BA"/>
              </w:rPr>
            </w:pPr>
            <w:r w:rsidRPr="001B04CD">
              <w:rPr>
                <w:bCs w:val="0"/>
                <w:sz w:val="24"/>
                <w:szCs w:val="24"/>
                <w:lang w:val="bs-Latn-BA"/>
              </w:rPr>
              <w:t>Praćenje postupaka javnih nabavki i transparentnost</w:t>
            </w:r>
          </w:p>
          <w:p w14:paraId="216621BA" w14:textId="0268CC31" w:rsidR="00CF3341" w:rsidRPr="001B04CD" w:rsidRDefault="00AF33F8" w:rsidP="001F1A7E">
            <w:pPr>
              <w:pStyle w:val="NormalWeb"/>
              <w:rPr>
                <w:lang w:val="bs-Latn-BA"/>
              </w:rPr>
            </w:pPr>
            <w:r w:rsidRPr="001B04CD">
              <w:rPr>
                <w:lang w:val="bs-Latn-BA"/>
              </w:rPr>
              <w:t xml:space="preserve">Iskustva iz EU pokazuju da potpuna transparentnost i javna dostupnost ugovora značajno smanjuju rizike od zloupotreba. Primjeri poput </w:t>
            </w:r>
            <w:r w:rsidRPr="001B04CD">
              <w:rPr>
                <w:i/>
                <w:iCs/>
                <w:lang w:val="bs-Latn-BA"/>
              </w:rPr>
              <w:t>Open Contracting Partnership</w:t>
            </w:r>
            <w:r w:rsidRPr="001B04CD">
              <w:rPr>
                <w:lang w:val="bs-Latn-BA"/>
              </w:rPr>
              <w:t xml:space="preserve"> i portala </w:t>
            </w:r>
            <w:r w:rsidRPr="001B04CD">
              <w:rPr>
                <w:i/>
                <w:iCs/>
                <w:lang w:val="bs-Latn-BA"/>
              </w:rPr>
              <w:t>TED – Tenders Electronic Daily</w:t>
            </w:r>
            <w:r w:rsidRPr="001B04CD">
              <w:rPr>
                <w:lang w:val="bs-Latn-BA"/>
              </w:rPr>
              <w:t xml:space="preserve"> potvrđuju da dostupnost podataka u realnom vremenu poboljšava kvalitet tržišne konkurencije i olakšava rad istraživačima i revizorima.</w:t>
            </w:r>
            <w:r w:rsidRPr="001B04CD">
              <w:rPr>
                <w:lang w:val="bs-Latn-BA"/>
              </w:rPr>
              <w:br/>
              <w:t>Zemlje koje su uvele sistem praćenja „procurement analytics“ (npr. Estonija, Portugal, Litvanija) bilježe smanjenje prosječnog trajanja postupaka i povećanje broja učesnika po tenderu.</w:t>
            </w:r>
          </w:p>
          <w:p w14:paraId="46B1354A" w14:textId="77777777" w:rsidR="00033349" w:rsidRPr="001B04CD" w:rsidRDefault="00033349" w:rsidP="00033349">
            <w:pPr>
              <w:pStyle w:val="Heading3"/>
              <w:jc w:val="both"/>
              <w:rPr>
                <w:bCs w:val="0"/>
                <w:sz w:val="24"/>
                <w:szCs w:val="24"/>
                <w:lang w:val="bs-Latn-BA"/>
              </w:rPr>
            </w:pPr>
            <w:r w:rsidRPr="001B04CD">
              <w:rPr>
                <w:bCs w:val="0"/>
                <w:sz w:val="24"/>
                <w:szCs w:val="24"/>
                <w:lang w:val="bs-Latn-BA"/>
              </w:rPr>
              <w:t>Žalbeni postupci</w:t>
            </w:r>
          </w:p>
          <w:p w14:paraId="5B9B07CA" w14:textId="252875CB" w:rsidR="00CF3341" w:rsidRPr="001B04CD" w:rsidRDefault="00033349" w:rsidP="001B04CD">
            <w:pPr>
              <w:pStyle w:val="NormalWeb"/>
              <w:rPr>
                <w:lang w:val="bs-Latn-BA"/>
              </w:rPr>
            </w:pPr>
            <w:r w:rsidRPr="001B04CD">
              <w:rPr>
                <w:lang w:val="bs-Latn-BA"/>
              </w:rPr>
              <w:t>U državama članicama EU (npr. Slovenija, Hrvatska, Češka) žalbeni sistemi su većinom digitalizovani, a odluke dostupne javno. U Sloveniji se primjenjuje filtriranje žalbi po osnovanosti, dok je u Hrvatskoj uvedena obavezna naknada troškova u slučaju neosnovane žalbe.</w:t>
            </w:r>
            <w:r w:rsidRPr="001B04CD">
              <w:rPr>
                <w:lang w:val="bs-Latn-BA"/>
              </w:rPr>
              <w:br/>
              <w:t>Iskustva pokazuju da kombinacija digitalizacije i procesnih mehanizama suzbijanja zloupotreba daje najbolje rezultate.</w:t>
            </w:r>
          </w:p>
        </w:tc>
      </w:tr>
      <w:tr w:rsidR="00F92C68" w:rsidRPr="001B04CD" w14:paraId="7C10CAF0" w14:textId="77777777"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14:paraId="7AD297A7" w14:textId="77777777" w:rsidR="00F92C68" w:rsidRPr="001B04CD" w:rsidRDefault="00F92C68" w:rsidP="00EF61B4">
            <w:pPr>
              <w:spacing w:after="0" w:line="240" w:lineRule="auto"/>
              <w:rPr>
                <w:rFonts w:ascii="Times New Roman" w:eastAsia="Arial Unicode MS" w:hAnsi="Times New Roman" w:cs="Times New Roman"/>
                <w:b/>
                <w:bCs/>
                <w:sz w:val="24"/>
                <w:szCs w:val="24"/>
                <w:lang w:eastAsia="ja-JP"/>
              </w:rPr>
            </w:pPr>
            <w:r w:rsidRPr="001B04CD">
              <w:rPr>
                <w:rFonts w:ascii="Times New Roman" w:eastAsia="Arial Unicode MS" w:hAnsi="Times New Roman" w:cs="Times New Roman"/>
                <w:b/>
                <w:bCs/>
                <w:sz w:val="24"/>
                <w:szCs w:val="24"/>
                <w:lang w:eastAsia="ja-JP"/>
              </w:rPr>
              <w:lastRenderedPageBreak/>
              <w:t>8. REZULTATI PROCJENE UTICAJA I PREDLAGANJE NAJPOVOLJNIJIH RJEŠENJA</w:t>
            </w:r>
          </w:p>
        </w:tc>
      </w:tr>
      <w:tr w:rsidR="00F92C68" w:rsidRPr="001B04CD" w14:paraId="62742498" w14:textId="77777777"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14:paraId="2B466155" w14:textId="77777777" w:rsidR="00F92C68" w:rsidRPr="001B04CD" w:rsidRDefault="003031BE" w:rsidP="00EF61B4">
            <w:pPr>
              <w:spacing w:after="0" w:line="240" w:lineRule="auto"/>
              <w:rPr>
                <w:rFonts w:ascii="Times New Roman" w:eastAsia="Arial Unicode MS" w:hAnsi="Times New Roman" w:cs="Times New Roman"/>
                <w:b/>
                <w:bCs/>
                <w:sz w:val="24"/>
                <w:szCs w:val="24"/>
                <w:lang w:eastAsia="ja-JP"/>
              </w:rPr>
            </w:pPr>
            <w:r w:rsidRPr="001B04CD">
              <w:rPr>
                <w:rFonts w:ascii="Times New Roman" w:eastAsia="Arial Unicode MS" w:hAnsi="Times New Roman" w:cs="Times New Roman"/>
                <w:b/>
                <w:bCs/>
                <w:sz w:val="24"/>
                <w:szCs w:val="24"/>
                <w:lang w:eastAsia="ja-JP"/>
              </w:rPr>
              <w:t>Koluzija</w:t>
            </w:r>
            <w:r w:rsidR="00585BA5" w:rsidRPr="001B04CD">
              <w:rPr>
                <w:rFonts w:ascii="Times New Roman" w:eastAsia="Arial Unicode MS" w:hAnsi="Times New Roman" w:cs="Times New Roman"/>
                <w:b/>
                <w:bCs/>
                <w:sz w:val="24"/>
                <w:szCs w:val="24"/>
                <w:lang w:eastAsia="ja-JP"/>
              </w:rPr>
              <w:t xml:space="preserve"> i ograničena konkurencija</w:t>
            </w:r>
          </w:p>
          <w:p w14:paraId="4610D55E" w14:textId="77777777" w:rsidR="00CC049E" w:rsidRPr="001B04CD" w:rsidRDefault="00CC049E" w:rsidP="00EF61B4">
            <w:pPr>
              <w:spacing w:after="0" w:line="240" w:lineRule="auto"/>
              <w:rPr>
                <w:rFonts w:ascii="Times New Roman" w:eastAsia="Arial Unicode MS" w:hAnsi="Times New Roman" w:cs="Times New Roman"/>
                <w:b/>
                <w:bCs/>
                <w:sz w:val="24"/>
                <w:szCs w:val="24"/>
                <w:lang w:eastAsia="ja-JP"/>
              </w:rPr>
            </w:pPr>
          </w:p>
          <w:p w14:paraId="0ED648AC" w14:textId="77777777" w:rsidR="003031BE" w:rsidRPr="001B04CD" w:rsidRDefault="003031BE" w:rsidP="00EF61B4">
            <w:pPr>
              <w:spacing w:after="0" w:line="240" w:lineRule="auto"/>
              <w:rPr>
                <w:rFonts w:ascii="Times New Roman" w:hAnsi="Times New Roman" w:cs="Times New Roman"/>
                <w:sz w:val="24"/>
                <w:szCs w:val="24"/>
              </w:rPr>
            </w:pPr>
            <w:r w:rsidRPr="001B04CD">
              <w:rPr>
                <w:rFonts w:ascii="Times New Roman" w:hAnsi="Times New Roman" w:cs="Times New Roman"/>
                <w:sz w:val="24"/>
                <w:szCs w:val="24"/>
              </w:rPr>
              <w:t>Analiza pokazuje da je najpovoljnije rješenje kombinacija normativnog i institucionalnog pristupa. To znači da novi ZJN treba da zadrži normu kojom se koluzija tretira kao profesionalni propust i razlog za isključenje, ali i da propiše obavezu Agenciji da razvije smjernice i indikatore za prepoznavanje koluzije, te obavezu redovne saradnje sa Konkurencijskim vijećem. Uvođenjem obaveznih instrumenata screeninga ponuda i obuke službenika značajno bi se povećala vjerovatnoća otkrivanja i sprječavanja koluzije u ranoj fazi, čime bi se postigao najbolji odnos između efikasnosti, transparentnosti i troškova implementacije.</w:t>
            </w:r>
          </w:p>
          <w:p w14:paraId="4DAEB9F0" w14:textId="77777777" w:rsidR="0038084E" w:rsidRPr="001B04CD" w:rsidRDefault="0038084E" w:rsidP="00EF61B4">
            <w:pPr>
              <w:spacing w:after="0" w:line="240" w:lineRule="auto"/>
              <w:rPr>
                <w:rFonts w:ascii="Times New Roman" w:hAnsi="Times New Roman" w:cs="Times New Roman"/>
                <w:sz w:val="24"/>
                <w:szCs w:val="24"/>
              </w:rPr>
            </w:pPr>
          </w:p>
          <w:p w14:paraId="432002A8" w14:textId="77777777" w:rsidR="00FC410C" w:rsidRPr="001B04CD" w:rsidRDefault="00FC410C" w:rsidP="00FC410C">
            <w:pPr>
              <w:pStyle w:val="Heading3"/>
              <w:jc w:val="both"/>
              <w:rPr>
                <w:sz w:val="24"/>
                <w:szCs w:val="24"/>
                <w:lang w:val="bs-Latn-BA"/>
              </w:rPr>
            </w:pPr>
            <w:r w:rsidRPr="001B04CD">
              <w:rPr>
                <w:sz w:val="24"/>
                <w:szCs w:val="24"/>
                <w:lang w:val="bs-Latn-BA"/>
              </w:rPr>
              <w:t>Zelene i društveno odgovorne nabavke</w:t>
            </w:r>
          </w:p>
          <w:p w14:paraId="3E12B209" w14:textId="77777777" w:rsidR="00CC049E" w:rsidRPr="001B04CD" w:rsidRDefault="00CC049E" w:rsidP="00CC049E">
            <w:pPr>
              <w:pStyle w:val="NormalWeb"/>
              <w:jc w:val="both"/>
              <w:rPr>
                <w:lang w:val="bs-Latn-BA"/>
              </w:rPr>
            </w:pPr>
            <w:r w:rsidRPr="001B04CD">
              <w:rPr>
                <w:lang w:val="bs-Latn-BA"/>
              </w:rPr>
              <w:t xml:space="preserve">Na temelju procjene, najpovoljnije (najefikasnije u odnosu na troškove) rješenje je kombinacija pristupa: uvođenje </w:t>
            </w:r>
            <w:r w:rsidRPr="001B04CD">
              <w:rPr>
                <w:rStyle w:val="Emphasis"/>
                <w:lang w:val="bs-Latn-BA"/>
              </w:rPr>
              <w:t>proaktivne integracije</w:t>
            </w:r>
            <w:r w:rsidRPr="001B04CD">
              <w:rPr>
                <w:lang w:val="bs-Latn-BA"/>
              </w:rPr>
              <w:t xml:space="preserve"> (umjerena opcija) kao obaveznog </w:t>
            </w:r>
            <w:r w:rsidRPr="001B04CD">
              <w:rPr>
                <w:lang w:val="bs-Latn-BA"/>
              </w:rPr>
              <w:lastRenderedPageBreak/>
              <w:t xml:space="preserve">inicijalnog koraka, s planom prelaska na </w:t>
            </w:r>
            <w:r w:rsidRPr="001B04CD">
              <w:rPr>
                <w:rStyle w:val="Emphasis"/>
                <w:lang w:val="bs-Latn-BA"/>
              </w:rPr>
              <w:t>ambiciozni pristup</w:t>
            </w:r>
            <w:r w:rsidRPr="001B04CD">
              <w:rPr>
                <w:lang w:val="bs-Latn-BA"/>
              </w:rPr>
              <w:t xml:space="preserve"> u srednjem roku (3–5 godina). Konkretnije, </w:t>
            </w:r>
            <w:r w:rsidR="0038084E" w:rsidRPr="001B04CD">
              <w:rPr>
                <w:lang w:val="bs-Latn-BA"/>
              </w:rPr>
              <w:t>preporučljive su slijedeće mjere</w:t>
            </w:r>
            <w:r w:rsidRPr="001B04CD">
              <w:rPr>
                <w:lang w:val="bs-Latn-BA"/>
              </w:rPr>
              <w:t>:</w:t>
            </w:r>
          </w:p>
          <w:p w14:paraId="6E44D64A" w14:textId="77777777" w:rsidR="00CC049E" w:rsidRPr="001B04CD" w:rsidRDefault="00CC049E" w:rsidP="00CC049E">
            <w:pPr>
              <w:pStyle w:val="NormalWeb"/>
              <w:numPr>
                <w:ilvl w:val="0"/>
                <w:numId w:val="15"/>
              </w:numPr>
              <w:jc w:val="both"/>
              <w:rPr>
                <w:lang w:val="bs-Latn-BA"/>
              </w:rPr>
            </w:pPr>
            <w:r w:rsidRPr="001B04CD">
              <w:rPr>
                <w:rStyle w:val="Strong"/>
                <w:b w:val="0"/>
                <w:lang w:val="bs-Latn-BA"/>
              </w:rPr>
              <w:t>Obavezna primjena LCC-pristupa</w:t>
            </w:r>
            <w:r w:rsidRPr="001B04CD">
              <w:rPr>
                <w:lang w:val="bs-Latn-BA"/>
              </w:rPr>
              <w:t xml:space="preserve"> za sve nabavke iznad jasno definiranog praga vrijednosti te za sve kategorije koje značajno utječu na potrošnju energije i otpad (npr. vozila, zgradske energetsk</w:t>
            </w:r>
            <w:r w:rsidR="0038084E" w:rsidRPr="001B04CD">
              <w:rPr>
                <w:lang w:val="bs-Latn-BA"/>
              </w:rPr>
              <w:t xml:space="preserve">e obnove, rasvjeta, IT-oprema), na osnovu </w:t>
            </w:r>
            <w:r w:rsidRPr="001B04CD">
              <w:rPr>
                <w:lang w:val="bs-Latn-BA"/>
              </w:rPr>
              <w:t>standardizirane metodologije i kalkulatore LCC koje se moraju koristiti u tenderskoj dokumentaciji.</w:t>
            </w:r>
          </w:p>
          <w:p w14:paraId="61DDB89C" w14:textId="77777777" w:rsidR="00CC049E" w:rsidRPr="001B04CD" w:rsidRDefault="00CC049E" w:rsidP="00CC049E">
            <w:pPr>
              <w:pStyle w:val="NormalWeb"/>
              <w:numPr>
                <w:ilvl w:val="0"/>
                <w:numId w:val="15"/>
              </w:numPr>
              <w:jc w:val="both"/>
              <w:rPr>
                <w:lang w:val="bs-Latn-BA"/>
              </w:rPr>
            </w:pPr>
            <w:r w:rsidRPr="001B04CD">
              <w:rPr>
                <w:rStyle w:val="Strong"/>
                <w:b w:val="0"/>
                <w:lang w:val="bs-Latn-BA"/>
              </w:rPr>
              <w:t>Standardizirane smjernice i šabloni</w:t>
            </w:r>
            <w:r w:rsidRPr="001B04CD">
              <w:rPr>
                <w:lang w:val="bs-Latn-BA"/>
              </w:rPr>
              <w:t xml:space="preserve"> za zelene tehničke specifikacije (po kategorijama), uključujući prihvaćene ekološke oznake i način procjene ekvivalencije. Ovo smanjuje subjektivnost i administrativni teret.</w:t>
            </w:r>
          </w:p>
          <w:p w14:paraId="12002FE3" w14:textId="77777777" w:rsidR="00CC049E" w:rsidRPr="001B04CD" w:rsidRDefault="00CC049E" w:rsidP="00CC049E">
            <w:pPr>
              <w:pStyle w:val="NormalWeb"/>
              <w:numPr>
                <w:ilvl w:val="0"/>
                <w:numId w:val="15"/>
              </w:numPr>
              <w:jc w:val="both"/>
              <w:rPr>
                <w:lang w:val="bs-Latn-BA"/>
              </w:rPr>
            </w:pPr>
            <w:r w:rsidRPr="001B04CD">
              <w:rPr>
                <w:rStyle w:val="Strong"/>
                <w:b w:val="0"/>
                <w:lang w:val="bs-Latn-BA"/>
              </w:rPr>
              <w:t>Pilot-projekti</w:t>
            </w:r>
            <w:r w:rsidRPr="001B04CD">
              <w:rPr>
                <w:lang w:val="bs-Latn-BA"/>
              </w:rPr>
              <w:t xml:space="preserve"> u 3–5 prioritetnih kategorija (npr. javna rasvjeta, vozila, energetska obnova) kako bi se testirali LCC metode i alati, pratila ušteda i prikupile lekcije prije šire obaveze.</w:t>
            </w:r>
          </w:p>
          <w:p w14:paraId="2C39CA91" w14:textId="77777777" w:rsidR="00CC049E" w:rsidRPr="001B04CD" w:rsidRDefault="00CC049E" w:rsidP="00CC049E">
            <w:pPr>
              <w:pStyle w:val="NormalWeb"/>
              <w:numPr>
                <w:ilvl w:val="0"/>
                <w:numId w:val="15"/>
              </w:numPr>
              <w:jc w:val="both"/>
              <w:rPr>
                <w:lang w:val="bs-Latn-BA"/>
              </w:rPr>
            </w:pPr>
            <w:r w:rsidRPr="001B04CD">
              <w:rPr>
                <w:rStyle w:val="Strong"/>
                <w:b w:val="0"/>
                <w:lang w:val="bs-Latn-BA"/>
              </w:rPr>
              <w:t>Ažuriranje e-Nabavke / Portala JN</w:t>
            </w:r>
            <w:r w:rsidRPr="001B04CD">
              <w:rPr>
                <w:lang w:val="bs-Latn-BA"/>
              </w:rPr>
              <w:t>: uvođenje polja za označavanje „zeleni kriterij primijenjen (da/ne)“, mogućnost pretrage po zelenim nabavkama i evidencija ekoloških oznaka koj se prihvataju.</w:t>
            </w:r>
          </w:p>
          <w:p w14:paraId="401CF1DF" w14:textId="77777777" w:rsidR="00CC049E" w:rsidRPr="001B04CD" w:rsidRDefault="00CC049E" w:rsidP="00CC049E">
            <w:pPr>
              <w:pStyle w:val="NormalWeb"/>
              <w:numPr>
                <w:ilvl w:val="0"/>
                <w:numId w:val="15"/>
              </w:numPr>
              <w:jc w:val="both"/>
              <w:rPr>
                <w:lang w:val="bs-Latn-BA"/>
              </w:rPr>
            </w:pPr>
            <w:r w:rsidRPr="001B04CD">
              <w:rPr>
                <w:rStyle w:val="Strong"/>
                <w:b w:val="0"/>
                <w:lang w:val="bs-Latn-BA"/>
              </w:rPr>
              <w:t>Kapacitetsko jačanje</w:t>
            </w:r>
            <w:r w:rsidRPr="001B04CD">
              <w:rPr>
                <w:lang w:val="bs-Latn-BA"/>
              </w:rPr>
              <w:t>: obavezne obuke za službenike javnih nabavki, edukacija ponuđača (posebno MSP) kako dokazati ekvivalentnost, te uspostava tehničke pomoći (helpdesk).</w:t>
            </w:r>
          </w:p>
          <w:p w14:paraId="3177BFA5" w14:textId="77777777" w:rsidR="00CC049E" w:rsidRPr="001B04CD" w:rsidRDefault="00CC049E" w:rsidP="00CC049E">
            <w:pPr>
              <w:pStyle w:val="NormalWeb"/>
              <w:numPr>
                <w:ilvl w:val="0"/>
                <w:numId w:val="15"/>
              </w:numPr>
              <w:jc w:val="both"/>
              <w:rPr>
                <w:lang w:val="bs-Latn-BA"/>
              </w:rPr>
            </w:pPr>
            <w:r w:rsidRPr="001B04CD">
              <w:rPr>
                <w:rStyle w:val="Strong"/>
                <w:b w:val="0"/>
                <w:lang w:val="bs-Latn-BA"/>
              </w:rPr>
              <w:t>Mehanizmi potpore tržištu</w:t>
            </w:r>
            <w:r w:rsidRPr="001B04CD">
              <w:rPr>
                <w:lang w:val="bs-Latn-BA"/>
              </w:rPr>
              <w:t>: programi za pomoć MSP pri prilagodbi, poticaji za razvijanje zelenih proizvoda, i uvažavanje ekvivalentnosti za dobavljače bez formalne oznake uz jasne kriterije provjere.</w:t>
            </w:r>
          </w:p>
          <w:p w14:paraId="59FFE94B" w14:textId="77777777" w:rsidR="00CC049E" w:rsidRPr="001B04CD" w:rsidRDefault="00CC049E" w:rsidP="00CC049E">
            <w:pPr>
              <w:pStyle w:val="NormalWeb"/>
              <w:numPr>
                <w:ilvl w:val="0"/>
                <w:numId w:val="15"/>
              </w:numPr>
              <w:jc w:val="both"/>
              <w:rPr>
                <w:lang w:val="bs-Latn-BA"/>
              </w:rPr>
            </w:pPr>
            <w:r w:rsidRPr="001B04CD">
              <w:rPr>
                <w:rStyle w:val="Strong"/>
                <w:b w:val="0"/>
                <w:lang w:val="bs-Latn-BA"/>
              </w:rPr>
              <w:t>Monitoring indikatori</w:t>
            </w:r>
            <w:r w:rsidRPr="001B04CD">
              <w:rPr>
                <w:lang w:val="bs-Latn-BA"/>
              </w:rPr>
              <w:t>: postaviti kvantitativne ciljeve i indikatorе, npr.: udio javnih nabavki s uključenim zelenim kriterijima (% od ukupnog broja i % od ukupne vrijednosti), procijenjena ušteda energije/GHG (tone CO2 ekv.), broj postupaka s primijenjenim LCC-proračunom, broj obučenih službenika i broj podržanih MSP.</w:t>
            </w:r>
          </w:p>
          <w:p w14:paraId="49A5BF9B" w14:textId="77777777" w:rsidR="00CC049E" w:rsidRPr="001B04CD" w:rsidRDefault="00CC049E" w:rsidP="00CC049E">
            <w:pPr>
              <w:pStyle w:val="NormalWeb"/>
              <w:numPr>
                <w:ilvl w:val="0"/>
                <w:numId w:val="15"/>
              </w:numPr>
              <w:jc w:val="both"/>
              <w:rPr>
                <w:lang w:val="bs-Latn-BA"/>
              </w:rPr>
            </w:pPr>
            <w:r w:rsidRPr="001B04CD">
              <w:rPr>
                <w:rStyle w:val="Strong"/>
                <w:b w:val="0"/>
                <w:lang w:val="bs-Latn-BA"/>
              </w:rPr>
              <w:t>Koordinacija kontrolnih tijela</w:t>
            </w:r>
            <w:r w:rsidRPr="001B04CD">
              <w:rPr>
                <w:lang w:val="bs-Latn-BA"/>
              </w:rPr>
              <w:t xml:space="preserve">: definirati jasnu ulogu Ministarstva vanjske trgovine i ekonomskih odnosa (procjena ekonomskih i okolišnih učinaka), Ministarstva finansija (procjena fiskalnih učinaka i obezbjeđenje budžeta za inicijalne troškove), Agencije za javne nabavke (implementacija smjernica) i </w:t>
            </w:r>
            <w:r w:rsidR="0038084E" w:rsidRPr="001B04CD">
              <w:rPr>
                <w:lang w:val="bs-Latn-BA"/>
              </w:rPr>
              <w:t>tijela</w:t>
            </w:r>
            <w:r w:rsidRPr="001B04CD">
              <w:rPr>
                <w:lang w:val="bs-Latn-BA"/>
              </w:rPr>
              <w:t xml:space="preserve"> za zaštitu okoliša / relevantnih eksperata za verifikaciju okolišnih tvrdnji.</w:t>
            </w:r>
          </w:p>
          <w:p w14:paraId="76B48395" w14:textId="77777777" w:rsidR="00FC410C" w:rsidRPr="001B04CD" w:rsidRDefault="00CC049E" w:rsidP="00CC049E">
            <w:pPr>
              <w:pStyle w:val="NormalWeb"/>
              <w:jc w:val="both"/>
              <w:rPr>
                <w:lang w:val="bs-Latn-BA"/>
              </w:rPr>
            </w:pPr>
            <w:r w:rsidRPr="001B04CD">
              <w:rPr>
                <w:lang w:val="bs-Latn-BA"/>
              </w:rPr>
              <w:t>Implementacijom ovih mjera u fazama (prvo umjerena integracija kroz smjernice i pilote, zatim postupno proširenje obaveza i ciljeva), očekivani rezultati su: smanjenje operativnih troškova kroz poboljšanu energetsku efikasnost, smanjenje okolišnih negativnih utjecaja, podsticaj tržišta za zelena rješenja i veća socijalna vrijednost javne potrošnje. Uz jasno definiran okvir i podršku za MSP, ovaj pristup minimizira kratkoročne negativne efekte na konkurenciju i maksimizira dugoročne dobrobiti za javni budžet i okoliš.</w:t>
            </w:r>
          </w:p>
          <w:p w14:paraId="0628E903" w14:textId="77777777" w:rsidR="00433009" w:rsidRPr="001B04CD" w:rsidRDefault="00433009" w:rsidP="00433009">
            <w:pPr>
              <w:pStyle w:val="Heading3"/>
              <w:jc w:val="both"/>
              <w:rPr>
                <w:bCs w:val="0"/>
                <w:sz w:val="24"/>
                <w:szCs w:val="24"/>
                <w:lang w:val="bs-Latn-BA"/>
              </w:rPr>
            </w:pPr>
            <w:r w:rsidRPr="001B04CD">
              <w:rPr>
                <w:bCs w:val="0"/>
                <w:sz w:val="24"/>
                <w:szCs w:val="24"/>
                <w:lang w:val="bs-Latn-BA"/>
              </w:rPr>
              <w:t>Digitalizacija i e-Nabavke</w:t>
            </w:r>
          </w:p>
          <w:p w14:paraId="6A7FD18F" w14:textId="77777777" w:rsidR="00433009" w:rsidRPr="001B04CD" w:rsidRDefault="00692A17" w:rsidP="00CC049E">
            <w:pPr>
              <w:pStyle w:val="NormalWeb"/>
              <w:jc w:val="both"/>
              <w:rPr>
                <w:lang w:val="bs-Latn-BA"/>
              </w:rPr>
            </w:pPr>
            <w:r w:rsidRPr="001B04CD">
              <w:rPr>
                <w:lang w:val="bs-Latn-BA"/>
              </w:rPr>
              <w:t>Najpovoljnije rješenje je uvođenje potpune digitalizacije javnih nabavki, sa svim ključnim e-modulima, interoperabilnošću sa registrima i naprednim alatima za analitiku i izvještavanje. Ovo rješenje najbolje balansira inicijalne troškove i dugoročne koristi, osigurava efikasnost, transparentnost i usklađenost s EU praksama.</w:t>
            </w:r>
          </w:p>
          <w:p w14:paraId="75DD9112" w14:textId="77777777" w:rsidR="009047F1" w:rsidRPr="001B04CD" w:rsidRDefault="009047F1" w:rsidP="009047F1">
            <w:pPr>
              <w:pStyle w:val="Heading3"/>
              <w:jc w:val="both"/>
              <w:rPr>
                <w:bCs w:val="0"/>
                <w:sz w:val="24"/>
                <w:szCs w:val="24"/>
                <w:lang w:val="bs-Latn-BA"/>
              </w:rPr>
            </w:pPr>
            <w:r w:rsidRPr="001B04CD">
              <w:rPr>
                <w:bCs w:val="0"/>
                <w:sz w:val="24"/>
                <w:szCs w:val="24"/>
                <w:lang w:val="bs-Latn-BA"/>
              </w:rPr>
              <w:t>Institucionalni i administrativni kapaciteti</w:t>
            </w:r>
          </w:p>
          <w:p w14:paraId="1491F611" w14:textId="77777777" w:rsidR="005A5806" w:rsidRPr="005A5806" w:rsidRDefault="005A5806" w:rsidP="005A5806">
            <w:pPr>
              <w:pStyle w:val="NormalWeb"/>
              <w:jc w:val="both"/>
              <w:rPr>
                <w:lang w:val="bs-Latn-BA"/>
              </w:rPr>
            </w:pPr>
            <w:r w:rsidRPr="005A5806">
              <w:rPr>
                <w:lang w:val="bs-Latn-BA"/>
              </w:rPr>
              <w:t>Najpovoljnijim rješenjem smatra se opcija 3 – Sistem profesionalizacije i institucionalne podrške.</w:t>
            </w:r>
            <w:r w:rsidRPr="005A5806">
              <w:rPr>
                <w:lang w:val="bs-Latn-BA"/>
              </w:rPr>
              <w:br/>
            </w:r>
            <w:r w:rsidRPr="005A5806">
              <w:rPr>
                <w:lang w:val="bs-Latn-BA"/>
              </w:rPr>
              <w:lastRenderedPageBreak/>
              <w:t>Ovaj pristup kombinuje kratkoročne mjere (obuka i certifikacija) s dugoročnim institucionalnim mehanizmima (regionalni centri, standardizovani pravilnici, jačanje Agencije).</w:t>
            </w:r>
            <w:r w:rsidRPr="005A5806">
              <w:rPr>
                <w:lang w:val="bs-Latn-BA"/>
              </w:rPr>
              <w:br/>
              <w:t>Učinak bi bio:</w:t>
            </w:r>
          </w:p>
          <w:p w14:paraId="3E99A66B" w14:textId="77777777" w:rsidR="005A5806" w:rsidRPr="005A5806" w:rsidRDefault="005A5806" w:rsidP="005A5806">
            <w:pPr>
              <w:pStyle w:val="NormalWeb"/>
              <w:numPr>
                <w:ilvl w:val="0"/>
                <w:numId w:val="27"/>
              </w:numPr>
              <w:jc w:val="both"/>
              <w:rPr>
                <w:lang w:val="bs-Latn-BA"/>
              </w:rPr>
            </w:pPr>
            <w:r w:rsidRPr="005A5806">
              <w:rPr>
                <w:lang w:val="bs-Latn-BA"/>
              </w:rPr>
              <w:t>povećana stručnost i pravna sigurnost,</w:t>
            </w:r>
          </w:p>
          <w:p w14:paraId="27923236" w14:textId="77777777" w:rsidR="005A5806" w:rsidRPr="005A5806" w:rsidRDefault="005A5806" w:rsidP="005A5806">
            <w:pPr>
              <w:pStyle w:val="NormalWeb"/>
              <w:numPr>
                <w:ilvl w:val="0"/>
                <w:numId w:val="27"/>
              </w:numPr>
              <w:jc w:val="both"/>
              <w:rPr>
                <w:lang w:val="bs-Latn-BA"/>
              </w:rPr>
            </w:pPr>
            <w:r w:rsidRPr="005A5806">
              <w:rPr>
                <w:lang w:val="bs-Latn-BA"/>
              </w:rPr>
              <w:t>smanjenje broja žalbi i grešaka,</w:t>
            </w:r>
          </w:p>
          <w:p w14:paraId="2E9D0534" w14:textId="77777777" w:rsidR="005A5806" w:rsidRPr="005A5806" w:rsidRDefault="005A5806" w:rsidP="005A5806">
            <w:pPr>
              <w:pStyle w:val="NormalWeb"/>
              <w:numPr>
                <w:ilvl w:val="0"/>
                <w:numId w:val="27"/>
              </w:numPr>
              <w:jc w:val="both"/>
              <w:rPr>
                <w:lang w:val="bs-Latn-BA"/>
              </w:rPr>
            </w:pPr>
            <w:r w:rsidRPr="005A5806">
              <w:rPr>
                <w:lang w:val="bs-Latn-BA"/>
              </w:rPr>
              <w:t>veće povjerenje javnosti u sistem javnih nabavki,</w:t>
            </w:r>
          </w:p>
          <w:p w14:paraId="58DD6F96" w14:textId="77777777" w:rsidR="005A5806" w:rsidRPr="005A5806" w:rsidRDefault="005A5806" w:rsidP="005A5806">
            <w:pPr>
              <w:pStyle w:val="NormalWeb"/>
              <w:numPr>
                <w:ilvl w:val="0"/>
                <w:numId w:val="27"/>
              </w:numPr>
              <w:jc w:val="both"/>
              <w:rPr>
                <w:lang w:val="bs-Latn-BA"/>
              </w:rPr>
            </w:pPr>
            <w:r w:rsidRPr="005A5806">
              <w:rPr>
                <w:lang w:val="bs-Latn-BA"/>
              </w:rPr>
              <w:t>dugoročno smanjenje troškova i povećanje efikasnosti.</w:t>
            </w:r>
          </w:p>
          <w:p w14:paraId="420EA336" w14:textId="77777777" w:rsidR="005A5806" w:rsidRPr="005A5806" w:rsidRDefault="005A5806" w:rsidP="005A5806">
            <w:pPr>
              <w:pStyle w:val="NormalWeb"/>
              <w:jc w:val="both"/>
              <w:rPr>
                <w:lang w:val="bs-Latn-BA"/>
              </w:rPr>
            </w:pPr>
            <w:r w:rsidRPr="005A5806">
              <w:rPr>
                <w:lang w:val="bs-Latn-BA"/>
              </w:rPr>
              <w:t>Predlaže se da Agencija za javne nabavke BiH preuzme koordinacionu ulogu u izradi nacionalnog programa profesionalizacije, u saradnji sa entitetskim i kantonalnim nivoima vlasti te uz podršku međunarodnih partnera (npr. SIGMA, EU Delegacija, UNDP).</w:t>
            </w:r>
          </w:p>
          <w:p w14:paraId="68B8FBFD" w14:textId="77777777" w:rsidR="00687378" w:rsidRPr="001B04CD" w:rsidRDefault="00687378" w:rsidP="00687378">
            <w:pPr>
              <w:pStyle w:val="Heading3"/>
              <w:jc w:val="both"/>
              <w:rPr>
                <w:bCs w:val="0"/>
                <w:sz w:val="24"/>
                <w:szCs w:val="24"/>
                <w:lang w:val="bs-Latn-BA"/>
              </w:rPr>
            </w:pPr>
            <w:r w:rsidRPr="001B04CD">
              <w:rPr>
                <w:bCs w:val="0"/>
                <w:sz w:val="24"/>
                <w:szCs w:val="24"/>
                <w:lang w:val="bs-Latn-BA"/>
              </w:rPr>
              <w:t>Pristup malih i srednjih preduzeća (MSP) i inovacije</w:t>
            </w:r>
          </w:p>
          <w:p w14:paraId="72E57B52" w14:textId="79B0E4E9" w:rsidR="00687378" w:rsidRPr="001B04CD" w:rsidRDefault="00A068AC" w:rsidP="00CC049E">
            <w:pPr>
              <w:pStyle w:val="NormalWeb"/>
              <w:jc w:val="both"/>
              <w:rPr>
                <w:lang w:val="bs-Latn-BA"/>
              </w:rPr>
            </w:pPr>
            <w:r w:rsidRPr="001B04CD">
              <w:rPr>
                <w:lang w:val="bs-Latn-BA"/>
              </w:rPr>
              <w:t xml:space="preserve">Procjena pokazuje da je </w:t>
            </w:r>
            <w:r w:rsidRPr="001B04CD">
              <w:rPr>
                <w:b/>
                <w:bCs/>
                <w:lang w:val="bs-Latn-BA"/>
              </w:rPr>
              <w:t>opcija 3 – proaktivni model inovacija i partnerstva</w:t>
            </w:r>
            <w:r w:rsidRPr="001B04CD">
              <w:rPr>
                <w:lang w:val="bs-Latn-BA"/>
              </w:rPr>
              <w:t xml:space="preserve"> najpovoljnije rješenje za Bosnu i Hercegovinu.</w:t>
            </w:r>
            <w:r w:rsidRPr="001B04CD">
              <w:rPr>
                <w:lang w:val="bs-Latn-BA"/>
              </w:rPr>
              <w:br/>
              <w:t>Kombinovan pristup (olakšavanje pristupa MSP + uvođenje partnerstva za inovacije) osigurava kratkoročne koristi kroz veću konkurenciju i niže cijene, te dugoročne koristi kroz razvoj inovativnih proizvoda, jačanje kapaciteta domaće privrede i povećanje dodane vrijednosti javnih sredstava.</w:t>
            </w:r>
            <w:r w:rsidRPr="001B04CD">
              <w:rPr>
                <w:lang w:val="bs-Latn-BA"/>
              </w:rPr>
              <w:br/>
              <w:t>Predlaže se da se uvedu pilot projekti partnerstva za inovacije u oblastima digitalizacije, energetike i zdravstva, uz kontinuirano praćenje rezultata i evaluaciju učinka na MSP sektor.</w:t>
            </w:r>
          </w:p>
          <w:p w14:paraId="44974100" w14:textId="77777777" w:rsidR="00AE6110" w:rsidRPr="001B04CD" w:rsidRDefault="00AE6110" w:rsidP="00AE6110">
            <w:pPr>
              <w:spacing w:before="100" w:beforeAutospacing="1" w:after="100" w:afterAutospacing="1" w:line="240" w:lineRule="auto"/>
              <w:jc w:val="both"/>
              <w:rPr>
                <w:rFonts w:ascii="Times New Roman" w:eastAsia="Times New Roman" w:hAnsi="Times New Roman" w:cs="Times New Roman"/>
                <w:b/>
                <w:bCs/>
                <w:sz w:val="24"/>
                <w:szCs w:val="24"/>
              </w:rPr>
            </w:pPr>
            <w:r w:rsidRPr="001B04CD">
              <w:rPr>
                <w:rFonts w:ascii="Times New Roman" w:eastAsia="Times New Roman" w:hAnsi="Times New Roman" w:cs="Times New Roman"/>
                <w:b/>
                <w:bCs/>
                <w:sz w:val="24"/>
                <w:szCs w:val="24"/>
              </w:rPr>
              <w:t>Rezervisani ugovori i socijalna inkluzija</w:t>
            </w:r>
          </w:p>
          <w:p w14:paraId="79A585F9" w14:textId="77777777" w:rsidR="007B2259" w:rsidRPr="001B04CD" w:rsidRDefault="007B2259" w:rsidP="007B2259">
            <w:pPr>
              <w:pStyle w:val="NormalWeb"/>
              <w:rPr>
                <w:lang w:val="bs-Latn-BA"/>
              </w:rPr>
            </w:pPr>
            <w:r w:rsidRPr="001B04CD">
              <w:rPr>
                <w:lang w:val="bs-Latn-BA"/>
              </w:rPr>
              <w:t>Zaključak je da najpovoljnije rješenje za socijalne uticaje predstavlja kombinacija smjernica, pilot-projekata i uvođenja rezervisanih ugovora kao obavezne mjere za odabrane sektore, uz plan da se u srednjem roku razmotri uvođenje kvota i obaveznog izvještavanja. Time bi se socijalna komponenta javnih nabavki u BiH ojačala na održiv i ostvariv način.</w:t>
            </w:r>
          </w:p>
          <w:p w14:paraId="496D0356" w14:textId="77777777" w:rsidR="00CF3341" w:rsidRPr="001B04CD" w:rsidRDefault="00CF3341" w:rsidP="00CF3341">
            <w:pPr>
              <w:pStyle w:val="Heading3"/>
              <w:jc w:val="both"/>
              <w:rPr>
                <w:bCs w:val="0"/>
                <w:sz w:val="24"/>
                <w:szCs w:val="24"/>
                <w:lang w:val="bs-Latn-BA"/>
              </w:rPr>
            </w:pPr>
            <w:r w:rsidRPr="001B04CD">
              <w:rPr>
                <w:bCs w:val="0"/>
                <w:sz w:val="24"/>
                <w:szCs w:val="24"/>
                <w:lang w:val="bs-Latn-BA"/>
              </w:rPr>
              <w:t>Praćenje postupaka javnih nabavki i transparentnost</w:t>
            </w:r>
          </w:p>
          <w:p w14:paraId="2327D041" w14:textId="0D491815" w:rsidR="00CF3341" w:rsidRPr="001B04CD" w:rsidRDefault="00AF33F8" w:rsidP="007B2259">
            <w:pPr>
              <w:pStyle w:val="NormalWeb"/>
              <w:rPr>
                <w:lang w:val="bs-Latn-BA"/>
              </w:rPr>
            </w:pPr>
            <w:r w:rsidRPr="001B04CD">
              <w:rPr>
                <w:lang w:val="bs-Latn-BA"/>
              </w:rPr>
              <w:t>Procjena pokazuje da umjerena reforma s elementima proaktivnog modela predstavlja najpovoljnije rješenje. Ono omogućava vidljive rezultate u kratkom roku (obavezna objava ugovora, standardizirano izvještavanje) uz postepeno uvođenje naprednih analitičkih alata.</w:t>
            </w:r>
            <w:r w:rsidRPr="001B04CD">
              <w:rPr>
                <w:lang w:val="bs-Latn-BA"/>
              </w:rPr>
              <w:br/>
              <w:t>Time bi Bosna i Hercegovina ostvarila značajan napredak u poglavlju 5 EU acquis-a (javne nabavke) i poboljšala međunarodni rejting u oblastima transparentnosti i integriteta javne uprave.</w:t>
            </w:r>
          </w:p>
          <w:p w14:paraId="0886BC59" w14:textId="77777777" w:rsidR="005D358E" w:rsidRPr="001B04CD" w:rsidRDefault="005D358E" w:rsidP="007B2259">
            <w:pPr>
              <w:pStyle w:val="NormalWeb"/>
              <w:rPr>
                <w:lang w:val="bs-Latn-BA"/>
              </w:rPr>
            </w:pPr>
          </w:p>
          <w:p w14:paraId="2C2DCB7F" w14:textId="77777777" w:rsidR="00033349" w:rsidRPr="001B04CD" w:rsidRDefault="00033349" w:rsidP="00033349">
            <w:pPr>
              <w:pStyle w:val="Heading3"/>
              <w:jc w:val="both"/>
              <w:rPr>
                <w:bCs w:val="0"/>
                <w:sz w:val="24"/>
                <w:szCs w:val="24"/>
                <w:lang w:val="bs-Latn-BA"/>
              </w:rPr>
            </w:pPr>
            <w:r w:rsidRPr="001B04CD">
              <w:rPr>
                <w:bCs w:val="0"/>
                <w:sz w:val="24"/>
                <w:szCs w:val="24"/>
                <w:lang w:val="bs-Latn-BA"/>
              </w:rPr>
              <w:t>Žalbeni postupci</w:t>
            </w:r>
          </w:p>
          <w:p w14:paraId="63115D1B" w14:textId="155A57BF" w:rsidR="00033349" w:rsidRPr="001B04CD" w:rsidRDefault="00033349" w:rsidP="007B2259">
            <w:pPr>
              <w:pStyle w:val="NormalWeb"/>
              <w:rPr>
                <w:lang w:val="bs-Latn-BA"/>
              </w:rPr>
            </w:pPr>
            <w:r w:rsidRPr="001B04CD">
              <w:rPr>
                <w:lang w:val="bs-Latn-BA"/>
              </w:rPr>
              <w:t xml:space="preserve">Procjena pokazuje da je </w:t>
            </w:r>
            <w:r w:rsidRPr="001B04CD">
              <w:rPr>
                <w:b/>
                <w:bCs/>
                <w:lang w:val="bs-Latn-BA"/>
              </w:rPr>
              <w:t>opcija 2 – Digitalizacija i racionalizacija</w:t>
            </w:r>
            <w:r w:rsidRPr="001B04CD">
              <w:rPr>
                <w:lang w:val="bs-Latn-BA"/>
              </w:rPr>
              <w:t xml:space="preserve"> najpovoljnije rješenje u ovom trenutku. Ova opcija donosi vidljivo povećanje efikasnosti i transparentnosti uz razuman nivo troškova. Dugoročno, rješenje se može nadograditi elementima strukturne reforme.</w:t>
            </w:r>
            <w:r w:rsidRPr="001B04CD">
              <w:rPr>
                <w:lang w:val="bs-Latn-BA"/>
              </w:rPr>
              <w:br/>
            </w:r>
            <w:r w:rsidRPr="001B04CD">
              <w:rPr>
                <w:lang w:val="bs-Latn-BA"/>
              </w:rPr>
              <w:lastRenderedPageBreak/>
              <w:t>Predloženi pristup osigurava balans između prava ponuđača i javnog interesa, te jača povjerenje u žalbeni sistem kao nezavisan i funkcionalan mehanizam pravne zaštite.</w:t>
            </w:r>
          </w:p>
          <w:p w14:paraId="5E118DA7" w14:textId="77777777" w:rsidR="00AE6110" w:rsidRPr="001B04CD" w:rsidRDefault="00AE6110" w:rsidP="00CC049E">
            <w:pPr>
              <w:pStyle w:val="NormalWeb"/>
              <w:jc w:val="both"/>
              <w:rPr>
                <w:rFonts w:eastAsia="Arial Unicode MS"/>
                <w:bCs/>
                <w:i/>
                <w:lang w:val="bs-Latn-BA" w:eastAsia="ja-JP"/>
              </w:rPr>
            </w:pPr>
          </w:p>
        </w:tc>
      </w:tr>
    </w:tbl>
    <w:p w14:paraId="1CACCEC3" w14:textId="77777777" w:rsidR="00F92C68" w:rsidRPr="001B04CD" w:rsidRDefault="00F92C68" w:rsidP="00F92C68">
      <w:pPr>
        <w:rPr>
          <w:rFonts w:ascii="Times New Roman" w:eastAsia="Arial Unicode MS" w:hAnsi="Times New Roman" w:cs="Times New Roman"/>
          <w:b/>
          <w:sz w:val="24"/>
          <w:szCs w:val="24"/>
        </w:rPr>
      </w:pPr>
      <w:r w:rsidRPr="001B04CD">
        <w:rPr>
          <w:rFonts w:ascii="Times New Roman" w:eastAsia="Arial Unicode MS" w:hAnsi="Times New Roman" w:cs="Times New Roman"/>
          <w:b/>
          <w:sz w:val="24"/>
          <w:szCs w:val="24"/>
        </w:rPr>
        <w:lastRenderedPageBreak/>
        <w:br w:type="page"/>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53"/>
        <w:gridCol w:w="842"/>
        <w:gridCol w:w="1090"/>
        <w:gridCol w:w="1085"/>
        <w:gridCol w:w="1306"/>
        <w:gridCol w:w="952"/>
        <w:gridCol w:w="961"/>
        <w:gridCol w:w="961"/>
        <w:gridCol w:w="812"/>
      </w:tblGrid>
      <w:tr w:rsidR="00F92C68" w:rsidRPr="001B04CD" w14:paraId="7CA3A925" w14:textId="77777777" w:rsidTr="004D7559">
        <w:tc>
          <w:tcPr>
            <w:tcW w:w="9062" w:type="dxa"/>
            <w:gridSpan w:val="9"/>
            <w:vAlign w:val="center"/>
          </w:tcPr>
          <w:p w14:paraId="2C84C5C4" w14:textId="77777777" w:rsidR="00F92C68" w:rsidRPr="001B04CD" w:rsidRDefault="00F92C68" w:rsidP="00EF61B4">
            <w:pPr>
              <w:spacing w:after="0" w:line="240" w:lineRule="auto"/>
              <w:rPr>
                <w:rFonts w:ascii="Times New Roman" w:eastAsia="Arial Unicode MS" w:hAnsi="Times New Roman" w:cs="Times New Roman"/>
                <w:b/>
                <w:bCs/>
                <w:sz w:val="20"/>
                <w:szCs w:val="20"/>
                <w:lang w:eastAsia="ja-JP"/>
              </w:rPr>
            </w:pPr>
            <w:r w:rsidRPr="001B04CD">
              <w:rPr>
                <w:rFonts w:ascii="Times New Roman" w:eastAsia="Arial Unicode MS" w:hAnsi="Times New Roman" w:cs="Times New Roman"/>
                <w:b/>
                <w:bCs/>
                <w:sz w:val="20"/>
                <w:szCs w:val="20"/>
                <w:lang w:eastAsia="ja-JP"/>
              </w:rPr>
              <w:lastRenderedPageBreak/>
              <w:t>9. OKVIR ZA PRAĆENJE, IZVJEŠTAVANJE I EVALUACIJU</w:t>
            </w:r>
          </w:p>
        </w:tc>
      </w:tr>
      <w:tr w:rsidR="00F92C68" w:rsidRPr="001B04CD" w14:paraId="790DB895" w14:textId="77777777" w:rsidTr="004D7559">
        <w:tc>
          <w:tcPr>
            <w:tcW w:w="9062" w:type="dxa"/>
            <w:gridSpan w:val="9"/>
          </w:tcPr>
          <w:p w14:paraId="2D9CF272"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r w:rsidRPr="001B04CD">
              <w:rPr>
                <w:rFonts w:ascii="Times New Roman" w:hAnsi="Times New Roman" w:cs="Times New Roman"/>
                <w:b/>
                <w:bCs/>
                <w:sz w:val="20"/>
                <w:szCs w:val="20"/>
              </w:rPr>
              <w:t>Opći/Posebni/Operativni cilj:</w:t>
            </w:r>
          </w:p>
        </w:tc>
      </w:tr>
      <w:tr w:rsidR="004D7559" w:rsidRPr="001B04CD" w14:paraId="0EB49E9F" w14:textId="77777777" w:rsidTr="004D7559">
        <w:trPr>
          <w:trHeight w:val="2065"/>
        </w:trPr>
        <w:tc>
          <w:tcPr>
            <w:tcW w:w="1131" w:type="dxa"/>
            <w:shd w:val="clear" w:color="auto" w:fill="DBE5F1" w:themeFill="accent1" w:themeFillTint="33"/>
            <w:vAlign w:val="center"/>
          </w:tcPr>
          <w:p w14:paraId="1E6F1CAC" w14:textId="77777777" w:rsidR="00F92C68" w:rsidRPr="001B04CD" w:rsidRDefault="00F92C68" w:rsidP="00EF61B4">
            <w:pPr>
              <w:tabs>
                <w:tab w:val="left" w:pos="284"/>
              </w:tabs>
              <w:spacing w:after="120"/>
              <w:jc w:val="center"/>
              <w:rPr>
                <w:rFonts w:ascii="Times New Roman" w:hAnsi="Times New Roman" w:cs="Times New Roman"/>
                <w:sz w:val="18"/>
                <w:szCs w:val="18"/>
              </w:rPr>
            </w:pPr>
            <w:r w:rsidRPr="001B04CD">
              <w:rPr>
                <w:rFonts w:ascii="Times New Roman" w:hAnsi="Times New Roman" w:cs="Times New Roman"/>
                <w:sz w:val="18"/>
                <w:szCs w:val="18"/>
              </w:rPr>
              <w:t>Pokazatelji na nivou općeg, posebnih, i operativnih ciljeva, te odabranih najpovoljnih rješenja</w:t>
            </w:r>
          </w:p>
        </w:tc>
        <w:tc>
          <w:tcPr>
            <w:tcW w:w="958" w:type="dxa"/>
            <w:shd w:val="clear" w:color="auto" w:fill="DBE5F1" w:themeFill="accent1" w:themeFillTint="33"/>
            <w:vAlign w:val="center"/>
          </w:tcPr>
          <w:p w14:paraId="27ABC5BB" w14:textId="77777777" w:rsidR="00F92C68" w:rsidRPr="001B04CD" w:rsidRDefault="00F92C68" w:rsidP="00EF61B4">
            <w:pPr>
              <w:tabs>
                <w:tab w:val="left" w:pos="284"/>
              </w:tabs>
              <w:spacing w:after="120"/>
              <w:jc w:val="center"/>
              <w:rPr>
                <w:rFonts w:ascii="Times New Roman" w:hAnsi="Times New Roman" w:cs="Times New Roman"/>
                <w:sz w:val="18"/>
                <w:szCs w:val="18"/>
              </w:rPr>
            </w:pPr>
            <w:r w:rsidRPr="001B04CD">
              <w:rPr>
                <w:rFonts w:ascii="Times New Roman" w:hAnsi="Times New Roman" w:cs="Times New Roman"/>
                <w:sz w:val="18"/>
                <w:szCs w:val="18"/>
              </w:rPr>
              <w:t>Definicija</w:t>
            </w:r>
          </w:p>
        </w:tc>
        <w:tc>
          <w:tcPr>
            <w:tcW w:w="839" w:type="dxa"/>
            <w:shd w:val="clear" w:color="auto" w:fill="DBE5F1" w:themeFill="accent1" w:themeFillTint="33"/>
            <w:vAlign w:val="center"/>
          </w:tcPr>
          <w:p w14:paraId="03CD6935" w14:textId="77777777" w:rsidR="00F92C68" w:rsidRPr="001B04CD" w:rsidRDefault="00F92C68" w:rsidP="00EF61B4">
            <w:pPr>
              <w:tabs>
                <w:tab w:val="left" w:pos="284"/>
              </w:tabs>
              <w:spacing w:after="120"/>
              <w:jc w:val="center"/>
              <w:rPr>
                <w:rFonts w:ascii="Times New Roman" w:hAnsi="Times New Roman" w:cs="Times New Roman"/>
                <w:sz w:val="18"/>
                <w:szCs w:val="18"/>
              </w:rPr>
            </w:pPr>
            <w:r w:rsidRPr="001B04CD">
              <w:rPr>
                <w:rFonts w:ascii="Times New Roman" w:hAnsi="Times New Roman" w:cs="Times New Roman"/>
                <w:sz w:val="18"/>
                <w:szCs w:val="18"/>
              </w:rPr>
              <w:t>Jedinica mjere</w:t>
            </w:r>
            <w:r w:rsidRPr="001B04CD">
              <w:rPr>
                <w:rStyle w:val="FootnoteReference"/>
                <w:rFonts w:ascii="Times New Roman" w:hAnsi="Times New Roman" w:cs="Times New Roman"/>
                <w:sz w:val="18"/>
                <w:szCs w:val="18"/>
              </w:rPr>
              <w:footnoteReference w:id="1"/>
            </w:r>
          </w:p>
        </w:tc>
        <w:tc>
          <w:tcPr>
            <w:tcW w:w="1266" w:type="dxa"/>
            <w:shd w:val="clear" w:color="auto" w:fill="DBE5F1" w:themeFill="accent1" w:themeFillTint="33"/>
            <w:vAlign w:val="center"/>
          </w:tcPr>
          <w:p w14:paraId="7A49DAA9" w14:textId="77777777" w:rsidR="00F92C68" w:rsidRPr="001B04CD" w:rsidRDefault="00F92C68" w:rsidP="00EF61B4">
            <w:pPr>
              <w:tabs>
                <w:tab w:val="left" w:pos="284"/>
              </w:tabs>
              <w:spacing w:after="120"/>
              <w:jc w:val="center"/>
              <w:rPr>
                <w:rFonts w:ascii="Times New Roman" w:hAnsi="Times New Roman" w:cs="Times New Roman"/>
                <w:sz w:val="18"/>
                <w:szCs w:val="18"/>
              </w:rPr>
            </w:pPr>
            <w:r w:rsidRPr="001B04CD">
              <w:rPr>
                <w:rFonts w:ascii="Times New Roman" w:hAnsi="Times New Roman" w:cs="Times New Roman"/>
                <w:sz w:val="18"/>
                <w:szCs w:val="18"/>
              </w:rPr>
              <w:t>Disagregacija</w:t>
            </w:r>
            <w:r w:rsidRPr="001B04CD">
              <w:rPr>
                <w:rStyle w:val="FootnoteReference"/>
                <w:rFonts w:ascii="Times New Roman" w:hAnsi="Times New Roman" w:cs="Times New Roman"/>
                <w:sz w:val="18"/>
                <w:szCs w:val="18"/>
              </w:rPr>
              <w:footnoteReference w:id="2"/>
            </w:r>
          </w:p>
        </w:tc>
        <w:tc>
          <w:tcPr>
            <w:tcW w:w="1094" w:type="dxa"/>
            <w:shd w:val="clear" w:color="auto" w:fill="DBE5F1" w:themeFill="accent1" w:themeFillTint="33"/>
            <w:vAlign w:val="center"/>
          </w:tcPr>
          <w:p w14:paraId="7E567F60" w14:textId="77777777" w:rsidR="00F92C68" w:rsidRPr="001B04CD" w:rsidRDefault="00F92C68" w:rsidP="00EF61B4">
            <w:pPr>
              <w:tabs>
                <w:tab w:val="left" w:pos="284"/>
              </w:tabs>
              <w:spacing w:after="120"/>
              <w:jc w:val="center"/>
              <w:rPr>
                <w:rFonts w:ascii="Times New Roman" w:hAnsi="Times New Roman" w:cs="Times New Roman"/>
                <w:sz w:val="18"/>
                <w:szCs w:val="18"/>
              </w:rPr>
            </w:pPr>
            <w:r w:rsidRPr="001B04CD">
              <w:rPr>
                <w:rFonts w:ascii="Times New Roman" w:hAnsi="Times New Roman" w:cs="Times New Roman"/>
                <w:sz w:val="18"/>
                <w:szCs w:val="18"/>
              </w:rPr>
              <w:t>Izvor i način prikupljanja</w:t>
            </w:r>
          </w:p>
        </w:tc>
        <w:tc>
          <w:tcPr>
            <w:tcW w:w="903" w:type="dxa"/>
            <w:shd w:val="clear" w:color="auto" w:fill="DBE5F1" w:themeFill="accent1" w:themeFillTint="33"/>
            <w:vAlign w:val="center"/>
          </w:tcPr>
          <w:p w14:paraId="57617AFD" w14:textId="77777777" w:rsidR="00F92C68" w:rsidRPr="001B04CD" w:rsidRDefault="00F92C68" w:rsidP="00EF61B4">
            <w:pPr>
              <w:tabs>
                <w:tab w:val="left" w:pos="284"/>
              </w:tabs>
              <w:spacing w:after="120"/>
              <w:jc w:val="center"/>
              <w:rPr>
                <w:rFonts w:ascii="Times New Roman" w:hAnsi="Times New Roman" w:cs="Times New Roman"/>
                <w:sz w:val="18"/>
                <w:szCs w:val="18"/>
              </w:rPr>
            </w:pPr>
            <w:r w:rsidRPr="001B04CD">
              <w:rPr>
                <w:rFonts w:ascii="Times New Roman" w:hAnsi="Times New Roman" w:cs="Times New Roman"/>
                <w:sz w:val="18"/>
                <w:szCs w:val="18"/>
              </w:rPr>
              <w:t>Kvaliteta podataka</w:t>
            </w:r>
          </w:p>
        </w:tc>
        <w:tc>
          <w:tcPr>
            <w:tcW w:w="957" w:type="dxa"/>
            <w:shd w:val="clear" w:color="auto" w:fill="DBE5F1" w:themeFill="accent1" w:themeFillTint="33"/>
            <w:vAlign w:val="center"/>
          </w:tcPr>
          <w:p w14:paraId="51B81227" w14:textId="77777777" w:rsidR="00F92C68" w:rsidRPr="001B04CD" w:rsidRDefault="004C3188" w:rsidP="004C3188">
            <w:pPr>
              <w:tabs>
                <w:tab w:val="left" w:pos="284"/>
              </w:tabs>
              <w:spacing w:after="120"/>
              <w:jc w:val="center"/>
              <w:rPr>
                <w:rFonts w:ascii="Times New Roman" w:hAnsi="Times New Roman" w:cs="Times New Roman"/>
                <w:sz w:val="18"/>
                <w:szCs w:val="18"/>
              </w:rPr>
            </w:pPr>
            <w:r w:rsidRPr="001B04CD">
              <w:rPr>
                <w:rFonts w:ascii="Times New Roman" w:hAnsi="Times New Roman" w:cs="Times New Roman"/>
                <w:sz w:val="18"/>
                <w:szCs w:val="18"/>
              </w:rPr>
              <w:t>Polazna vrijednost 2025</w:t>
            </w:r>
            <w:r w:rsidR="00F92C68" w:rsidRPr="001B04CD">
              <w:rPr>
                <w:rFonts w:ascii="Times New Roman" w:hAnsi="Times New Roman" w:cs="Times New Roman"/>
                <w:sz w:val="18"/>
                <w:szCs w:val="18"/>
              </w:rPr>
              <w:t>. (t)</w:t>
            </w:r>
          </w:p>
        </w:tc>
        <w:tc>
          <w:tcPr>
            <w:tcW w:w="957" w:type="dxa"/>
            <w:shd w:val="clear" w:color="auto" w:fill="DBE5F1" w:themeFill="accent1" w:themeFillTint="33"/>
            <w:vAlign w:val="center"/>
          </w:tcPr>
          <w:p w14:paraId="1D9D3EA2" w14:textId="77777777" w:rsidR="00F92C68" w:rsidRPr="001B04CD" w:rsidRDefault="004C3188" w:rsidP="004C3188">
            <w:pPr>
              <w:tabs>
                <w:tab w:val="left" w:pos="284"/>
              </w:tabs>
              <w:spacing w:after="120"/>
              <w:jc w:val="center"/>
              <w:rPr>
                <w:rFonts w:ascii="Times New Roman" w:hAnsi="Times New Roman" w:cs="Times New Roman"/>
                <w:sz w:val="18"/>
                <w:szCs w:val="18"/>
              </w:rPr>
            </w:pPr>
            <w:r w:rsidRPr="001B04CD">
              <w:rPr>
                <w:rFonts w:ascii="Times New Roman" w:hAnsi="Times New Roman" w:cs="Times New Roman"/>
                <w:sz w:val="18"/>
                <w:szCs w:val="18"/>
              </w:rPr>
              <w:t>Ciljana vrijednost 2026</w:t>
            </w:r>
            <w:r w:rsidR="00F92C68" w:rsidRPr="001B04CD">
              <w:rPr>
                <w:rFonts w:ascii="Times New Roman" w:hAnsi="Times New Roman" w:cs="Times New Roman"/>
                <w:sz w:val="18"/>
                <w:szCs w:val="18"/>
              </w:rPr>
              <w:t>. (t+1)</w:t>
            </w:r>
          </w:p>
        </w:tc>
        <w:tc>
          <w:tcPr>
            <w:tcW w:w="957" w:type="dxa"/>
            <w:shd w:val="clear" w:color="auto" w:fill="DBE5F1" w:themeFill="accent1" w:themeFillTint="33"/>
            <w:vAlign w:val="center"/>
          </w:tcPr>
          <w:p w14:paraId="347885DF" w14:textId="77777777" w:rsidR="00F92C68" w:rsidRPr="001B04CD" w:rsidRDefault="00F92C68" w:rsidP="004C3188">
            <w:pPr>
              <w:tabs>
                <w:tab w:val="left" w:pos="284"/>
              </w:tabs>
              <w:spacing w:after="120"/>
              <w:jc w:val="center"/>
              <w:rPr>
                <w:rFonts w:ascii="Times New Roman" w:hAnsi="Times New Roman" w:cs="Times New Roman"/>
                <w:sz w:val="18"/>
                <w:szCs w:val="18"/>
              </w:rPr>
            </w:pPr>
            <w:r w:rsidRPr="001B04CD">
              <w:rPr>
                <w:rFonts w:ascii="Times New Roman" w:hAnsi="Times New Roman" w:cs="Times New Roman"/>
                <w:sz w:val="18"/>
                <w:szCs w:val="18"/>
              </w:rPr>
              <w:t>Ciljana</w:t>
            </w:r>
            <w:r w:rsidRPr="001B04CD">
              <w:rPr>
                <w:rStyle w:val="FootnoteReference"/>
                <w:rFonts w:ascii="Times New Roman" w:hAnsi="Times New Roman" w:cs="Times New Roman"/>
                <w:sz w:val="18"/>
                <w:szCs w:val="18"/>
              </w:rPr>
              <w:footnoteReference w:id="3"/>
            </w:r>
            <w:r w:rsidRPr="001B04CD">
              <w:rPr>
                <w:rFonts w:ascii="Times New Roman" w:hAnsi="Times New Roman" w:cs="Times New Roman"/>
                <w:sz w:val="18"/>
                <w:szCs w:val="18"/>
              </w:rPr>
              <w:t xml:space="preserve"> vrijednost 20</w:t>
            </w:r>
            <w:r w:rsidR="004C3188" w:rsidRPr="001B04CD">
              <w:rPr>
                <w:rFonts w:ascii="Times New Roman" w:hAnsi="Times New Roman" w:cs="Times New Roman"/>
                <w:sz w:val="18"/>
                <w:szCs w:val="18"/>
              </w:rPr>
              <w:t>27</w:t>
            </w:r>
            <w:r w:rsidRPr="001B04CD">
              <w:rPr>
                <w:rFonts w:ascii="Times New Roman" w:hAnsi="Times New Roman" w:cs="Times New Roman"/>
                <w:sz w:val="18"/>
                <w:szCs w:val="18"/>
              </w:rPr>
              <w:t>. (t+2)</w:t>
            </w:r>
          </w:p>
        </w:tc>
      </w:tr>
      <w:tr w:rsidR="004D7559" w:rsidRPr="001B04CD" w14:paraId="08DA5CF9" w14:textId="77777777" w:rsidTr="004D7559">
        <w:tc>
          <w:tcPr>
            <w:tcW w:w="1131" w:type="dxa"/>
          </w:tcPr>
          <w:p w14:paraId="4235EEBC" w14:textId="23B9F8E1"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hAnsi="Times New Roman" w:cs="Times New Roman"/>
                <w:sz w:val="20"/>
                <w:szCs w:val="20"/>
              </w:rPr>
              <w:t>Godišnji izvještaj o dodijeljenim ugovorima u postupcima javnih nabavki</w:t>
            </w:r>
          </w:p>
        </w:tc>
        <w:tc>
          <w:tcPr>
            <w:tcW w:w="958" w:type="dxa"/>
          </w:tcPr>
          <w:p w14:paraId="2A148C3F" w14:textId="308D9845"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sz w:val="20"/>
                <w:szCs w:val="20"/>
                <w:lang w:eastAsia="ja-JP"/>
              </w:rPr>
              <w:t>Ugovori o javnoj nabavci roba, usluga i radova</w:t>
            </w:r>
          </w:p>
        </w:tc>
        <w:tc>
          <w:tcPr>
            <w:tcW w:w="839" w:type="dxa"/>
          </w:tcPr>
          <w:p w14:paraId="71552094" w14:textId="43176250"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sz w:val="20"/>
                <w:szCs w:val="20"/>
                <w:lang w:eastAsia="ja-JP"/>
              </w:rPr>
              <w:t>Broj zaključenih ugovora o javnim nabavkama i njihova vrijednost</w:t>
            </w:r>
          </w:p>
        </w:tc>
        <w:tc>
          <w:tcPr>
            <w:tcW w:w="1266" w:type="dxa"/>
          </w:tcPr>
          <w:p w14:paraId="69CFC9D8" w14:textId="73236955"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sz w:val="20"/>
                <w:szCs w:val="20"/>
                <w:lang w:eastAsia="ja-JP"/>
              </w:rPr>
              <w:t>Za cijelu BiH</w:t>
            </w:r>
          </w:p>
        </w:tc>
        <w:tc>
          <w:tcPr>
            <w:tcW w:w="1094" w:type="dxa"/>
          </w:tcPr>
          <w:p w14:paraId="637F5BE0" w14:textId="308CCCA7"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sz w:val="20"/>
                <w:szCs w:val="20"/>
                <w:lang w:eastAsia="ja-JP"/>
              </w:rPr>
              <w:t xml:space="preserve">Portal javnih nabavki </w:t>
            </w:r>
            <w:hyperlink r:id="rId7" w:history="1">
              <w:r w:rsidRPr="001B04CD">
                <w:rPr>
                  <w:rStyle w:val="Hyperlink"/>
                  <w:rFonts w:ascii="Times New Roman" w:eastAsia="Arial Unicode MS" w:hAnsi="Times New Roman" w:cs="Times New Roman"/>
                  <w:sz w:val="20"/>
                  <w:szCs w:val="20"/>
                  <w:lang w:eastAsia="ja-JP"/>
                </w:rPr>
                <w:t>www.ejn.gov.ba</w:t>
              </w:r>
            </w:hyperlink>
            <w:r w:rsidRPr="001B04CD">
              <w:rPr>
                <w:rFonts w:ascii="Times New Roman" w:eastAsia="Arial Unicode MS" w:hAnsi="Times New Roman" w:cs="Times New Roman"/>
                <w:bCs/>
                <w:sz w:val="20"/>
                <w:szCs w:val="20"/>
                <w:lang w:eastAsia="ja-JP"/>
              </w:rPr>
              <w:t xml:space="preserve"> </w:t>
            </w:r>
          </w:p>
        </w:tc>
        <w:tc>
          <w:tcPr>
            <w:tcW w:w="903" w:type="dxa"/>
          </w:tcPr>
          <w:p w14:paraId="27F49C9C" w14:textId="2493F65D"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sz w:val="20"/>
                <w:szCs w:val="20"/>
                <w:lang w:eastAsia="ja-JP"/>
              </w:rPr>
              <w:t>Zvanični elektronski sistem javnih nabavki u</w:t>
            </w:r>
            <w:r w:rsidRPr="001B04CD">
              <w:rPr>
                <w:rFonts w:ascii="Times New Roman" w:eastAsia="Arial Unicode MS" w:hAnsi="Times New Roman" w:cs="Times New Roman"/>
                <w:bCs/>
                <w:caps/>
                <w:sz w:val="20"/>
                <w:szCs w:val="20"/>
                <w:lang w:eastAsia="ja-JP"/>
              </w:rPr>
              <w:t xml:space="preserve"> BiH</w:t>
            </w:r>
          </w:p>
        </w:tc>
        <w:tc>
          <w:tcPr>
            <w:tcW w:w="957" w:type="dxa"/>
          </w:tcPr>
          <w:p w14:paraId="6E28C64A" w14:textId="5D59875E"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hAnsi="Times New Roman" w:cs="Times New Roman"/>
                <w:sz w:val="20"/>
                <w:szCs w:val="20"/>
              </w:rPr>
              <w:t>XYZ dodjeljenih ugovora</w:t>
            </w:r>
          </w:p>
        </w:tc>
        <w:tc>
          <w:tcPr>
            <w:tcW w:w="957" w:type="dxa"/>
          </w:tcPr>
          <w:p w14:paraId="2D4BF8E0" w14:textId="5860A545"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hAnsi="Times New Roman" w:cs="Times New Roman"/>
                <w:color w:val="000000"/>
                <w:sz w:val="20"/>
                <w:szCs w:val="20"/>
              </w:rPr>
              <w:t>XYZ dodjeljenih ugovora</w:t>
            </w:r>
          </w:p>
        </w:tc>
        <w:tc>
          <w:tcPr>
            <w:tcW w:w="957" w:type="dxa"/>
          </w:tcPr>
          <w:p w14:paraId="569763BE" w14:textId="530B0983"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caps/>
                <w:sz w:val="20"/>
                <w:szCs w:val="20"/>
                <w:lang w:eastAsia="ja-JP"/>
              </w:rPr>
              <w:t xml:space="preserve">U </w:t>
            </w:r>
            <w:r w:rsidRPr="001B04CD">
              <w:rPr>
                <w:rFonts w:ascii="Times New Roman" w:eastAsia="Arial Unicode MS" w:hAnsi="Times New Roman" w:cs="Times New Roman"/>
                <w:bCs/>
                <w:sz w:val="20"/>
                <w:szCs w:val="20"/>
                <w:lang w:eastAsia="ja-JP"/>
              </w:rPr>
              <w:t>izradi u odnosu na podatke sa portale e-nabavke</w:t>
            </w:r>
          </w:p>
        </w:tc>
      </w:tr>
      <w:tr w:rsidR="004D7559" w:rsidRPr="001B04CD" w14:paraId="02EC6FF1" w14:textId="77777777" w:rsidTr="004D7559">
        <w:tc>
          <w:tcPr>
            <w:tcW w:w="1131" w:type="dxa"/>
          </w:tcPr>
          <w:p w14:paraId="3C2D73FB" w14:textId="6978C6B8"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sz w:val="20"/>
                <w:szCs w:val="20"/>
                <w:lang w:eastAsia="ja-JP"/>
              </w:rPr>
              <w:t>Izvještaj o napretku BiH</w:t>
            </w:r>
          </w:p>
        </w:tc>
        <w:tc>
          <w:tcPr>
            <w:tcW w:w="958" w:type="dxa"/>
          </w:tcPr>
          <w:p w14:paraId="36C72E83" w14:textId="596C82C5"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sz w:val="20"/>
                <w:szCs w:val="20"/>
                <w:lang w:eastAsia="ja-JP"/>
              </w:rPr>
              <w:t>Odredbe i instituti Direktiva EU o JN</w:t>
            </w:r>
          </w:p>
        </w:tc>
        <w:tc>
          <w:tcPr>
            <w:tcW w:w="839" w:type="dxa"/>
          </w:tcPr>
          <w:p w14:paraId="125038A0" w14:textId="32E1980F"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sz w:val="20"/>
                <w:szCs w:val="20"/>
                <w:lang w:eastAsia="ja-JP"/>
              </w:rPr>
              <w:t>Broj odredbi koje se transponiraju</w:t>
            </w:r>
          </w:p>
        </w:tc>
        <w:tc>
          <w:tcPr>
            <w:tcW w:w="1266" w:type="dxa"/>
          </w:tcPr>
          <w:p w14:paraId="2A990E38" w14:textId="13933EC9"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sz w:val="20"/>
                <w:szCs w:val="20"/>
                <w:lang w:eastAsia="ja-JP"/>
              </w:rPr>
              <w:t>Za cijelu BiH</w:t>
            </w:r>
          </w:p>
        </w:tc>
        <w:tc>
          <w:tcPr>
            <w:tcW w:w="1094" w:type="dxa"/>
          </w:tcPr>
          <w:p w14:paraId="4CC347BF" w14:textId="12DC5580"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r w:rsidRPr="001B04CD">
              <w:rPr>
                <w:rFonts w:ascii="Times New Roman" w:eastAsia="Arial Unicode MS" w:hAnsi="Times New Roman" w:cs="Times New Roman"/>
                <w:bCs/>
                <w:caps/>
                <w:sz w:val="20"/>
                <w:szCs w:val="20"/>
                <w:lang w:eastAsia="ja-JP"/>
              </w:rPr>
              <w:t xml:space="preserve">zjn, </w:t>
            </w:r>
            <w:r w:rsidRPr="001B04CD">
              <w:rPr>
                <w:rFonts w:ascii="Times New Roman" w:eastAsia="Arial Unicode MS" w:hAnsi="Times New Roman" w:cs="Times New Roman"/>
                <w:bCs/>
                <w:sz w:val="20"/>
                <w:szCs w:val="20"/>
                <w:lang w:eastAsia="ja-JP"/>
              </w:rPr>
              <w:t xml:space="preserve">izvještaji i dokumenti </w:t>
            </w:r>
            <w:r w:rsidRPr="001B04CD">
              <w:rPr>
                <w:rFonts w:ascii="Times New Roman" w:eastAsia="Arial Unicode MS" w:hAnsi="Times New Roman" w:cs="Times New Roman"/>
                <w:bCs/>
                <w:caps/>
                <w:sz w:val="20"/>
                <w:szCs w:val="20"/>
                <w:lang w:eastAsia="ja-JP"/>
              </w:rPr>
              <w:t>eu, dei, sigma</w:t>
            </w:r>
          </w:p>
        </w:tc>
        <w:tc>
          <w:tcPr>
            <w:tcW w:w="903" w:type="dxa"/>
          </w:tcPr>
          <w:p w14:paraId="7AA43636" w14:textId="77777777"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p>
        </w:tc>
        <w:tc>
          <w:tcPr>
            <w:tcW w:w="957" w:type="dxa"/>
          </w:tcPr>
          <w:p w14:paraId="08C0AEEE" w14:textId="77777777"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p>
        </w:tc>
        <w:tc>
          <w:tcPr>
            <w:tcW w:w="957" w:type="dxa"/>
          </w:tcPr>
          <w:p w14:paraId="630396EF" w14:textId="77777777"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p>
        </w:tc>
        <w:tc>
          <w:tcPr>
            <w:tcW w:w="957" w:type="dxa"/>
          </w:tcPr>
          <w:p w14:paraId="1BC22AB0" w14:textId="77777777" w:rsidR="004D7559" w:rsidRPr="001B04CD" w:rsidRDefault="004D7559" w:rsidP="004D7559">
            <w:pPr>
              <w:spacing w:before="120" w:after="120"/>
              <w:jc w:val="both"/>
              <w:rPr>
                <w:rFonts w:ascii="Times New Roman" w:eastAsia="Arial Unicode MS" w:hAnsi="Times New Roman" w:cs="Times New Roman"/>
                <w:bCs/>
                <w:caps/>
                <w:sz w:val="20"/>
                <w:szCs w:val="20"/>
                <w:lang w:eastAsia="ja-JP"/>
              </w:rPr>
            </w:pPr>
          </w:p>
        </w:tc>
      </w:tr>
      <w:tr w:rsidR="004D7559" w:rsidRPr="001B04CD" w14:paraId="0F454F0D" w14:textId="77777777" w:rsidTr="004D7559">
        <w:tc>
          <w:tcPr>
            <w:tcW w:w="1131" w:type="dxa"/>
          </w:tcPr>
          <w:p w14:paraId="438F2766"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8" w:type="dxa"/>
          </w:tcPr>
          <w:p w14:paraId="65E74C65"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39" w:type="dxa"/>
          </w:tcPr>
          <w:p w14:paraId="756AB573"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14:paraId="19BFF929"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094" w:type="dxa"/>
          </w:tcPr>
          <w:p w14:paraId="74C66173"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03" w:type="dxa"/>
          </w:tcPr>
          <w:p w14:paraId="79956485"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733E4A4F"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37B5AC9D"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4FABDCE0"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r>
      <w:tr w:rsidR="004D7559" w:rsidRPr="001B04CD" w14:paraId="5AAE1F77" w14:textId="77777777" w:rsidTr="004D7559">
        <w:tc>
          <w:tcPr>
            <w:tcW w:w="1131" w:type="dxa"/>
          </w:tcPr>
          <w:p w14:paraId="70F658BF"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8" w:type="dxa"/>
          </w:tcPr>
          <w:p w14:paraId="35B78BFA"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39" w:type="dxa"/>
          </w:tcPr>
          <w:p w14:paraId="5D81C192"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14:paraId="55EBF061"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094" w:type="dxa"/>
          </w:tcPr>
          <w:p w14:paraId="57719A1F"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03" w:type="dxa"/>
          </w:tcPr>
          <w:p w14:paraId="3C326BC8"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755DAD4C"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25CE2E0E"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71C982DC"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r>
      <w:tr w:rsidR="004D7559" w:rsidRPr="001B04CD" w14:paraId="1FB6AA47" w14:textId="77777777" w:rsidTr="004D7559">
        <w:tc>
          <w:tcPr>
            <w:tcW w:w="1131" w:type="dxa"/>
          </w:tcPr>
          <w:p w14:paraId="64FA07A6"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8" w:type="dxa"/>
          </w:tcPr>
          <w:p w14:paraId="670448F7"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39" w:type="dxa"/>
          </w:tcPr>
          <w:p w14:paraId="2A700785"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14:paraId="26DD405A"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094" w:type="dxa"/>
          </w:tcPr>
          <w:p w14:paraId="10FA77AB"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03" w:type="dxa"/>
          </w:tcPr>
          <w:p w14:paraId="73CD8CB9"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2F9C787D"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20C720D0"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12429765"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r>
      <w:tr w:rsidR="004D7559" w:rsidRPr="001B04CD" w14:paraId="27EAED10" w14:textId="77777777" w:rsidTr="004D7559">
        <w:tc>
          <w:tcPr>
            <w:tcW w:w="1131" w:type="dxa"/>
          </w:tcPr>
          <w:p w14:paraId="3DAF1C31"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8" w:type="dxa"/>
          </w:tcPr>
          <w:p w14:paraId="01D958B3"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39" w:type="dxa"/>
          </w:tcPr>
          <w:p w14:paraId="0A2C76CA"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14:paraId="66D5D9DB"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094" w:type="dxa"/>
          </w:tcPr>
          <w:p w14:paraId="3513996A"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03" w:type="dxa"/>
          </w:tcPr>
          <w:p w14:paraId="4BF15385"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041DF142"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0BBD1F96"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57" w:type="dxa"/>
          </w:tcPr>
          <w:p w14:paraId="71717037" w14:textId="77777777" w:rsidR="00F92C68" w:rsidRPr="001B04CD" w:rsidRDefault="00F92C68" w:rsidP="00EF61B4">
            <w:pPr>
              <w:spacing w:before="120" w:after="120"/>
              <w:jc w:val="both"/>
              <w:rPr>
                <w:rFonts w:ascii="Times New Roman" w:eastAsia="Arial Unicode MS" w:hAnsi="Times New Roman" w:cs="Times New Roman"/>
                <w:bCs/>
                <w:caps/>
                <w:sz w:val="20"/>
                <w:szCs w:val="20"/>
                <w:lang w:eastAsia="ja-JP"/>
              </w:rPr>
            </w:pPr>
          </w:p>
        </w:tc>
      </w:tr>
      <w:tr w:rsidR="00F92C68" w:rsidRPr="001B04CD" w14:paraId="49130E6A" w14:textId="77777777" w:rsidTr="004D7559">
        <w:tc>
          <w:tcPr>
            <w:tcW w:w="9062" w:type="dxa"/>
            <w:gridSpan w:val="9"/>
            <w:vAlign w:val="center"/>
          </w:tcPr>
          <w:p w14:paraId="7A9534AF" w14:textId="77777777" w:rsidR="00F92C68" w:rsidRPr="001B04CD" w:rsidRDefault="00F92C68" w:rsidP="00EF61B4">
            <w:pPr>
              <w:spacing w:after="0" w:line="240" w:lineRule="auto"/>
              <w:rPr>
                <w:rFonts w:ascii="Times New Roman" w:eastAsia="Arial Unicode MS" w:hAnsi="Times New Roman" w:cs="Times New Roman"/>
                <w:bCs/>
                <w:i/>
                <w:sz w:val="20"/>
                <w:szCs w:val="20"/>
                <w:lang w:eastAsia="ja-JP"/>
              </w:rPr>
            </w:pPr>
            <w:r w:rsidRPr="001B04CD">
              <w:rPr>
                <w:rFonts w:ascii="Times New Roman" w:eastAsia="Arial Unicode MS" w:hAnsi="Times New Roman" w:cs="Times New Roman"/>
                <w:bCs/>
                <w:i/>
                <w:sz w:val="20"/>
                <w:szCs w:val="20"/>
                <w:lang w:eastAsia="ja-JP"/>
              </w:rPr>
              <w:lastRenderedPageBreak/>
              <w:t>U skladu sa čl. od 23. do 29. Aneksa I utvrdite okvir za praćenje, izvještavanje i evaluaciju. Pokazatelji se utvrđuju i predstavljaju u okviru gornje tabele. U zavisnosti od broja ciljeva, po potrebi proširite tabelu..</w:t>
            </w:r>
          </w:p>
        </w:tc>
      </w:tr>
      <w:tr w:rsidR="00F92C68" w:rsidRPr="001B04CD" w14:paraId="1EEECD47" w14:textId="77777777" w:rsidTr="004D7559">
        <w:tc>
          <w:tcPr>
            <w:tcW w:w="9062" w:type="dxa"/>
            <w:gridSpan w:val="9"/>
            <w:vAlign w:val="center"/>
          </w:tcPr>
          <w:p w14:paraId="7B1CE7A0" w14:textId="77777777" w:rsidR="00F92C68" w:rsidRPr="001B04CD" w:rsidRDefault="00F92C68" w:rsidP="00EF61B4">
            <w:pPr>
              <w:spacing w:after="0" w:line="240" w:lineRule="auto"/>
              <w:rPr>
                <w:rFonts w:ascii="Times New Roman" w:eastAsia="Arial Unicode MS" w:hAnsi="Times New Roman" w:cs="Times New Roman"/>
                <w:b/>
                <w:bCs/>
                <w:sz w:val="20"/>
                <w:szCs w:val="20"/>
                <w:lang w:eastAsia="ja-JP"/>
              </w:rPr>
            </w:pPr>
            <w:r w:rsidRPr="001B04CD">
              <w:rPr>
                <w:rFonts w:ascii="Times New Roman" w:eastAsia="Arial Unicode MS" w:hAnsi="Times New Roman" w:cs="Times New Roman"/>
                <w:b/>
                <w:bCs/>
                <w:sz w:val="20"/>
                <w:szCs w:val="20"/>
                <w:lang w:eastAsia="ja-JP"/>
              </w:rPr>
              <w:t>10. ZAKLJUČAK</w:t>
            </w:r>
          </w:p>
        </w:tc>
      </w:tr>
      <w:tr w:rsidR="00F92C68" w:rsidRPr="001B04CD" w14:paraId="69129D69" w14:textId="77777777" w:rsidTr="004D7559">
        <w:tc>
          <w:tcPr>
            <w:tcW w:w="9062" w:type="dxa"/>
            <w:gridSpan w:val="9"/>
            <w:vAlign w:val="center"/>
          </w:tcPr>
          <w:p w14:paraId="4A45E2DA" w14:textId="77777777" w:rsidR="00881E57" w:rsidRPr="001B04CD" w:rsidRDefault="00881E57" w:rsidP="00881E5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Na osnovu provedene sveobuhvatne procjene uticaja, jasno je da postojeće stanje u oblasti javnih nabavki u Bosni i Hercegovini nije održivo i da zahtijeva donošenje novog zakona. Analizirani problemi – koluzija i ograničena konkurencija, nedovoljna primjena zelenih i socijalnih kriterija, djelimična digitalizacija sistema, nedostatak kapaciteta ugovornih organa i komplikovani žalbeni postupci – potvrđuju potrebu za sveobuhvatnom reformom.</w:t>
            </w:r>
          </w:p>
          <w:p w14:paraId="761C98AA" w14:textId="77777777" w:rsidR="00881E57" w:rsidRPr="001B04CD" w:rsidRDefault="00881E57" w:rsidP="00881E5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Najpovoljnija rješenja podrazumijevaju kombinaciju normativnih i institucionalnih mjera: tretiranje koluzije kao profesionalnog propusta uz obavezne instrumente prevencije i saradnju institucija; proaktivnu integraciju zelenih i socijalnih kriterija, sa jasnim smjernicama, LCC kalkulatorom i pilot-projektima, kao osnovu za prelazak na ambiciozniji pristup; potpunu digitalizaciju sistema e-Nabavki sa interoperabilnošću i naprednim modulima za analitiku; te širu primjenu rezervisanih ugovora za socijalnu inkluziju.</w:t>
            </w:r>
          </w:p>
          <w:p w14:paraId="421998EF" w14:textId="77777777" w:rsidR="00881E57" w:rsidRPr="001B04CD" w:rsidRDefault="00881E57" w:rsidP="00881E57">
            <w:pPr>
              <w:spacing w:before="100" w:beforeAutospacing="1" w:after="100" w:afterAutospacing="1" w:line="240" w:lineRule="auto"/>
              <w:rPr>
                <w:rFonts w:ascii="Times New Roman" w:eastAsia="Times New Roman" w:hAnsi="Times New Roman" w:cs="Times New Roman"/>
                <w:sz w:val="24"/>
                <w:szCs w:val="24"/>
              </w:rPr>
            </w:pPr>
            <w:r w:rsidRPr="001B04CD">
              <w:rPr>
                <w:rFonts w:ascii="Times New Roman" w:eastAsia="Times New Roman" w:hAnsi="Times New Roman" w:cs="Times New Roman"/>
                <w:sz w:val="24"/>
                <w:szCs w:val="24"/>
              </w:rPr>
              <w:t>Implementacija ovih mjera osigurava efikasnije postupke, veći nivo transparentnosti, smanjenje rizika od nepravilnosti i jačanje povjerenja javnosti. Fiskalno, iako traže određena inicijalna ulaganja, predložene reforme dugoročno donose uštede kroz smanjene administrativne troškove i racionalnije korištenje budžetskih sredstava. Ovim se ispunjavaju i obaveze Bosne i Hercegovine u procesu evropskih integracija, a javne nabavke se potvrđuju kao snažan instrument ekonomskog, socijalnog i održivog razvoja.</w:t>
            </w:r>
          </w:p>
          <w:p w14:paraId="2C6C9538" w14:textId="77777777" w:rsidR="005922D2" w:rsidRPr="005922D2" w:rsidRDefault="005922D2" w:rsidP="005922D2">
            <w:p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Sveobuhvatna procjena uticaja Prednacrta Zakona o javnim nabavkama pokazala je da postojeći normativni okvir, iako unaprijeđen izmjenama iz 2022. i 2024. godine, više ne može u potpunosti odgovoriti na potrebe tržišta, institucionalne zahtjeve i obaveze Bosne i Hercegovine u procesu evropskih integracija. Brojni nalazi analize potvrđuju potrebu za sveobuhvatnijom i sistemskom reformom sektora.</w:t>
            </w:r>
          </w:p>
          <w:p w14:paraId="5CA54F99" w14:textId="77777777" w:rsidR="005922D2" w:rsidRPr="005922D2" w:rsidRDefault="005922D2" w:rsidP="005922D2">
            <w:p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Ključni problemi koji su identifikovani odnose se na:</w:t>
            </w:r>
          </w:p>
          <w:p w14:paraId="4CEB7AA5" w14:textId="77777777" w:rsidR="005922D2" w:rsidRPr="005922D2" w:rsidRDefault="005922D2" w:rsidP="005922D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fragmentiranost postupaka i neujednačenu praksu ugovornih organa;</w:t>
            </w:r>
          </w:p>
          <w:p w14:paraId="00CCF286" w14:textId="77777777" w:rsidR="005922D2" w:rsidRPr="005922D2" w:rsidRDefault="005922D2" w:rsidP="005922D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ograničenu digitalizaciju i nedostatak analitičkih alata u sistemu e-Nabavke;</w:t>
            </w:r>
          </w:p>
          <w:p w14:paraId="5180A558" w14:textId="77777777" w:rsidR="005922D2" w:rsidRPr="005922D2" w:rsidRDefault="005922D2" w:rsidP="005922D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nedovoljnu primjenu društveno odgovornih i zelenih kriterija;</w:t>
            </w:r>
          </w:p>
          <w:p w14:paraId="4F53F052" w14:textId="77777777" w:rsidR="005922D2" w:rsidRPr="005922D2" w:rsidRDefault="005922D2" w:rsidP="005922D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visoku učestalost koluzivnog ponašanja i ograničen broj učesnika na tržištu;</w:t>
            </w:r>
          </w:p>
          <w:p w14:paraId="62374670" w14:textId="77777777" w:rsidR="005922D2" w:rsidRPr="005922D2" w:rsidRDefault="005922D2" w:rsidP="005922D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preopterećen žalbeni sistem i neujednačenu primjenu pravne zaštite;</w:t>
            </w:r>
          </w:p>
          <w:p w14:paraId="7D962FEB" w14:textId="77777777" w:rsidR="005922D2" w:rsidRPr="005922D2" w:rsidRDefault="005922D2" w:rsidP="005922D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nedostatne kapacitete za strateško planiranje i nadzor nad sprovođenjem politika javnih nabavki.</w:t>
            </w:r>
          </w:p>
          <w:p w14:paraId="05B94688" w14:textId="77777777" w:rsidR="005922D2" w:rsidRPr="005922D2" w:rsidRDefault="005922D2" w:rsidP="005922D2">
            <w:p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Analizom mogućih opcija, uključujući i varijantu zadržavanja postojećeg stanja („status quo“), utvrđeno je da bi nepoduzimanje mjera imalo dugoročno negativne efekte na konkurentnost, transparentnost i usklađenost sa pravnom stečevinom EU.</w:t>
            </w:r>
            <w:r w:rsidRPr="005922D2">
              <w:rPr>
                <w:rFonts w:ascii="Times New Roman" w:eastAsia="Times New Roman" w:hAnsi="Times New Roman" w:cs="Times New Roman"/>
                <w:sz w:val="24"/>
                <w:szCs w:val="24"/>
              </w:rPr>
              <w:br/>
              <w:t>Istovremeno, ambiciozni model reforme koji uključuje nove instrumente (poput partnerstva za inovacije, digitalizacije procesa i unapređenja žalbenog sistema) pokazuje najveći potencijal da doprinese strateškim ciljevima:</w:t>
            </w:r>
          </w:p>
          <w:p w14:paraId="2FD38222" w14:textId="77777777" w:rsidR="005922D2" w:rsidRPr="005922D2" w:rsidRDefault="005922D2" w:rsidP="005922D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povećanju efikasnosti i transparentnosti sistema javnih nabavki,</w:t>
            </w:r>
          </w:p>
          <w:p w14:paraId="60342B11" w14:textId="77777777" w:rsidR="005922D2" w:rsidRPr="005922D2" w:rsidRDefault="005922D2" w:rsidP="005922D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jačanju tržišne konkurencije,</w:t>
            </w:r>
          </w:p>
          <w:p w14:paraId="4C650769" w14:textId="77777777" w:rsidR="005922D2" w:rsidRPr="005922D2" w:rsidRDefault="005922D2" w:rsidP="005922D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smanjenju rizika od korupcije i koluzije,</w:t>
            </w:r>
          </w:p>
          <w:p w14:paraId="5ADA37FC" w14:textId="77777777" w:rsidR="005922D2" w:rsidRPr="005922D2" w:rsidRDefault="005922D2" w:rsidP="005922D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jačanju kapaciteta ugovornih organa i MSP sektora, te</w:t>
            </w:r>
          </w:p>
          <w:p w14:paraId="00A2AD85" w14:textId="77777777" w:rsidR="005922D2" w:rsidRPr="005922D2" w:rsidRDefault="005922D2" w:rsidP="005922D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lastRenderedPageBreak/>
              <w:t>jačanju integracije Bosne i Hercegovine u jedinstveno tržište Evropske unije.</w:t>
            </w:r>
          </w:p>
          <w:p w14:paraId="7BE77B2A" w14:textId="77777777" w:rsidR="005922D2" w:rsidRPr="005922D2" w:rsidRDefault="005922D2" w:rsidP="005922D2">
            <w:p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 xml:space="preserve">Procjena je pokazala da su predložene reforme </w:t>
            </w:r>
            <w:r w:rsidRPr="005922D2">
              <w:rPr>
                <w:rFonts w:ascii="Times New Roman" w:eastAsia="Times New Roman" w:hAnsi="Times New Roman" w:cs="Times New Roman"/>
                <w:b/>
                <w:bCs/>
                <w:sz w:val="24"/>
                <w:szCs w:val="24"/>
              </w:rPr>
              <w:t>fiskalno održive</w:t>
            </w:r>
            <w:r w:rsidRPr="005922D2">
              <w:rPr>
                <w:rFonts w:ascii="Times New Roman" w:eastAsia="Times New Roman" w:hAnsi="Times New Roman" w:cs="Times New Roman"/>
                <w:sz w:val="24"/>
                <w:szCs w:val="24"/>
              </w:rPr>
              <w:t>, uz postepeno uvođenje novih instituta i jačanje kapaciteta kroz obuke, priručnike i smjernice. Ukupni troškovi implementacije u srednjem roku (2025–2028) su umjereni i u najvećem dijelu odnose se na jačanje institucionalnih i ljudskih kapaciteta, bez značajnog dodatnog fiskalnog opterećenja.</w:t>
            </w:r>
          </w:p>
          <w:p w14:paraId="7A6CEEC5" w14:textId="77777777" w:rsidR="005922D2" w:rsidRPr="005922D2" w:rsidRDefault="005922D2" w:rsidP="005922D2">
            <w:p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Uzimajući u obzir navedeno, preporučuje se:</w:t>
            </w:r>
          </w:p>
          <w:p w14:paraId="4010F254" w14:textId="58AAB306" w:rsidR="005922D2" w:rsidRPr="005922D2" w:rsidRDefault="005922D2" w:rsidP="005922D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b/>
                <w:bCs/>
                <w:sz w:val="24"/>
                <w:szCs w:val="24"/>
              </w:rPr>
              <w:t xml:space="preserve">Usvajanje </w:t>
            </w:r>
            <w:r w:rsidR="009047F1" w:rsidRPr="001B04CD">
              <w:rPr>
                <w:rFonts w:ascii="Times New Roman" w:eastAsia="Times New Roman" w:hAnsi="Times New Roman" w:cs="Times New Roman"/>
                <w:b/>
                <w:bCs/>
                <w:sz w:val="24"/>
                <w:szCs w:val="24"/>
              </w:rPr>
              <w:t>novog</w:t>
            </w:r>
            <w:r w:rsidRPr="005922D2">
              <w:rPr>
                <w:rFonts w:ascii="Times New Roman" w:eastAsia="Times New Roman" w:hAnsi="Times New Roman" w:cs="Times New Roman"/>
                <w:b/>
                <w:bCs/>
                <w:sz w:val="24"/>
                <w:szCs w:val="24"/>
              </w:rPr>
              <w:t xml:space="preserve"> Zakona o javnim nabavkama</w:t>
            </w:r>
            <w:r w:rsidRPr="005922D2">
              <w:rPr>
                <w:rFonts w:ascii="Times New Roman" w:eastAsia="Times New Roman" w:hAnsi="Times New Roman" w:cs="Times New Roman"/>
                <w:sz w:val="24"/>
                <w:szCs w:val="24"/>
              </w:rPr>
              <w:t xml:space="preserve"> kao osnovnog regulatornog okvira za dalju reformu sektora,</w:t>
            </w:r>
          </w:p>
          <w:p w14:paraId="652D569B" w14:textId="77777777" w:rsidR="005922D2" w:rsidRPr="005922D2" w:rsidRDefault="005922D2" w:rsidP="005922D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b/>
                <w:bCs/>
                <w:sz w:val="24"/>
                <w:szCs w:val="24"/>
              </w:rPr>
              <w:t>Provođenje faznog pristupa implementaciji</w:t>
            </w:r>
            <w:r w:rsidRPr="005922D2">
              <w:rPr>
                <w:rFonts w:ascii="Times New Roman" w:eastAsia="Times New Roman" w:hAnsi="Times New Roman" w:cs="Times New Roman"/>
                <w:sz w:val="24"/>
                <w:szCs w:val="24"/>
              </w:rPr>
              <w:t>, uz paralelno jačanje kapaciteta i prilagodbu informacionog sistema,</w:t>
            </w:r>
          </w:p>
          <w:p w14:paraId="17606D33" w14:textId="77777777" w:rsidR="005922D2" w:rsidRPr="005922D2" w:rsidRDefault="005922D2" w:rsidP="005922D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b/>
                <w:bCs/>
                <w:sz w:val="24"/>
                <w:szCs w:val="24"/>
              </w:rPr>
              <w:t>Kontinuirano praćenje efekata reforme</w:t>
            </w:r>
            <w:r w:rsidRPr="005922D2">
              <w:rPr>
                <w:rFonts w:ascii="Times New Roman" w:eastAsia="Times New Roman" w:hAnsi="Times New Roman" w:cs="Times New Roman"/>
                <w:sz w:val="24"/>
                <w:szCs w:val="24"/>
              </w:rPr>
              <w:t xml:space="preserve"> kroz mehanizme izvještavanja i evaluacije, u skladu s metodologijom procjene uticaja propisa.</w:t>
            </w:r>
          </w:p>
          <w:p w14:paraId="6949FECA" w14:textId="77777777" w:rsidR="005922D2" w:rsidRPr="005922D2" w:rsidRDefault="005922D2" w:rsidP="005922D2">
            <w:pPr>
              <w:spacing w:before="100" w:beforeAutospacing="1" w:after="100" w:afterAutospacing="1" w:line="240" w:lineRule="auto"/>
              <w:rPr>
                <w:rFonts w:ascii="Times New Roman" w:eastAsia="Times New Roman" w:hAnsi="Times New Roman" w:cs="Times New Roman"/>
                <w:sz w:val="24"/>
                <w:szCs w:val="24"/>
              </w:rPr>
            </w:pPr>
            <w:r w:rsidRPr="005922D2">
              <w:rPr>
                <w:rFonts w:ascii="Times New Roman" w:eastAsia="Times New Roman" w:hAnsi="Times New Roman" w:cs="Times New Roman"/>
                <w:sz w:val="24"/>
                <w:szCs w:val="24"/>
              </w:rPr>
              <w:t>Predloženi zakon predstavlja važan korak ka modernizaciji, transparentnosti i održivosti sistema javnih nabavki u Bosni i Hercegovini, te stvaranju institucionalnih pretpostavki za konkurentno, pravedno i inovativno tržište javnih ugovora.</w:t>
            </w:r>
          </w:p>
          <w:p w14:paraId="14A4F208" w14:textId="77777777" w:rsidR="005922D2" w:rsidRPr="001B04CD" w:rsidRDefault="005922D2" w:rsidP="00881E57">
            <w:pPr>
              <w:spacing w:before="100" w:beforeAutospacing="1" w:after="100" w:afterAutospacing="1" w:line="240" w:lineRule="auto"/>
              <w:rPr>
                <w:rFonts w:ascii="Times New Roman" w:eastAsia="Times New Roman" w:hAnsi="Times New Roman" w:cs="Times New Roman"/>
                <w:sz w:val="24"/>
                <w:szCs w:val="24"/>
              </w:rPr>
            </w:pPr>
          </w:p>
          <w:p w14:paraId="6B0CE74E" w14:textId="77777777" w:rsidR="00F92C68" w:rsidRPr="001B04CD" w:rsidRDefault="00F92C68" w:rsidP="00EF61B4">
            <w:pPr>
              <w:spacing w:after="0" w:line="240" w:lineRule="auto"/>
              <w:rPr>
                <w:rFonts w:ascii="Times New Roman" w:eastAsia="Arial Unicode MS" w:hAnsi="Times New Roman" w:cs="Times New Roman"/>
                <w:b/>
                <w:bCs/>
                <w:i/>
                <w:sz w:val="20"/>
                <w:szCs w:val="20"/>
                <w:lang w:eastAsia="ja-JP"/>
              </w:rPr>
            </w:pPr>
          </w:p>
        </w:tc>
      </w:tr>
    </w:tbl>
    <w:p w14:paraId="0A2DAB93" w14:textId="77777777" w:rsidR="00524884" w:rsidRPr="001B04CD" w:rsidRDefault="00524884" w:rsidP="00524884">
      <w:pPr>
        <w:pStyle w:val="Heading5"/>
        <w:framePr w:hSpace="180" w:wrap="around" w:vAnchor="text" w:hAnchor="margin" w:xAlign="center" w:y="113"/>
        <w:ind w:left="-113" w:right="-113"/>
        <w:jc w:val="center"/>
        <w:rPr>
          <w:rFonts w:ascii="Times New Roman" w:hAnsi="Times New Roman" w:cs="Times New Roman"/>
          <w:b/>
          <w:color w:val="auto"/>
          <w:sz w:val="24"/>
          <w:szCs w:val="24"/>
        </w:rPr>
      </w:pPr>
      <w:r w:rsidRPr="001B04CD">
        <w:rPr>
          <w:rFonts w:ascii="Times New Roman" w:hAnsi="Times New Roman" w:cs="Times New Roman"/>
          <w:color w:val="auto"/>
          <w:sz w:val="24"/>
          <w:szCs w:val="24"/>
        </w:rPr>
        <w:lastRenderedPageBreak/>
        <w:t xml:space="preserve">                                                                                        </w:t>
      </w:r>
      <w:r w:rsidRPr="001B04CD">
        <w:rPr>
          <w:rFonts w:ascii="Times New Roman" w:hAnsi="Times New Roman" w:cs="Times New Roman"/>
          <w:b/>
          <w:color w:val="auto"/>
          <w:sz w:val="24"/>
          <w:szCs w:val="24"/>
        </w:rPr>
        <w:t>DIREKTOR</w:t>
      </w:r>
    </w:p>
    <w:p w14:paraId="151BE57F" w14:textId="77777777" w:rsidR="00524884" w:rsidRPr="001B04CD" w:rsidRDefault="00524884" w:rsidP="00524884">
      <w:pPr>
        <w:pStyle w:val="Heading5"/>
        <w:framePr w:hSpace="180" w:wrap="around" w:vAnchor="text" w:hAnchor="margin" w:xAlign="center" w:y="113"/>
        <w:jc w:val="right"/>
        <w:rPr>
          <w:rFonts w:ascii="Times New Roman" w:hAnsi="Times New Roman" w:cs="Times New Roman"/>
          <w:b/>
          <w:color w:val="auto"/>
          <w:sz w:val="24"/>
          <w:szCs w:val="24"/>
        </w:rPr>
      </w:pPr>
    </w:p>
    <w:p w14:paraId="6A3FEA5D" w14:textId="77777777" w:rsidR="001F398A" w:rsidRPr="001B04CD" w:rsidRDefault="00524884" w:rsidP="00524884">
      <w:pPr>
        <w:jc w:val="right"/>
        <w:rPr>
          <w:rFonts w:ascii="Times New Roman" w:hAnsi="Times New Roman" w:cs="Times New Roman"/>
          <w:b/>
          <w:sz w:val="24"/>
          <w:szCs w:val="24"/>
        </w:rPr>
      </w:pPr>
      <w:r w:rsidRPr="001B04CD">
        <w:rPr>
          <w:rFonts w:ascii="Times New Roman" w:hAnsi="Times New Roman" w:cs="Times New Roman"/>
          <w:b/>
          <w:sz w:val="24"/>
          <w:szCs w:val="24"/>
        </w:rPr>
        <w:t xml:space="preserve"> Dr.sci. Tarik Rahić, dipl. pravnik</w:t>
      </w:r>
    </w:p>
    <w:sectPr w:rsidR="001F398A" w:rsidRPr="001B04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48B6" w14:textId="77777777" w:rsidR="00850F92" w:rsidRDefault="00850F92" w:rsidP="00F92C68">
      <w:pPr>
        <w:spacing w:after="0" w:line="240" w:lineRule="auto"/>
      </w:pPr>
      <w:r>
        <w:separator/>
      </w:r>
    </w:p>
  </w:endnote>
  <w:endnote w:type="continuationSeparator" w:id="0">
    <w:p w14:paraId="4FBC4EB5" w14:textId="77777777" w:rsidR="00850F92" w:rsidRDefault="00850F92" w:rsidP="00F9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EB7C" w14:textId="77777777" w:rsidR="00850F92" w:rsidRDefault="00850F92" w:rsidP="00F92C68">
      <w:pPr>
        <w:spacing w:after="0" w:line="240" w:lineRule="auto"/>
      </w:pPr>
      <w:r>
        <w:separator/>
      </w:r>
    </w:p>
  </w:footnote>
  <w:footnote w:type="continuationSeparator" w:id="0">
    <w:p w14:paraId="13F74E4B" w14:textId="77777777" w:rsidR="00850F92" w:rsidRDefault="00850F92" w:rsidP="00F92C68">
      <w:pPr>
        <w:spacing w:after="0" w:line="240" w:lineRule="auto"/>
      </w:pPr>
      <w:r>
        <w:continuationSeparator/>
      </w:r>
    </w:p>
  </w:footnote>
  <w:footnote w:id="1">
    <w:p w14:paraId="39F73F6A" w14:textId="77777777" w:rsidR="00F92C68" w:rsidRPr="00815D06" w:rsidRDefault="00F92C68" w:rsidP="00F92C68">
      <w:pPr>
        <w:pStyle w:val="FootnoteText"/>
        <w:jc w:val="both"/>
        <w:rPr>
          <w:rFonts w:ascii="Times New Roman" w:hAnsi="Times New Roman" w:cs="Times New Roman"/>
          <w:lang w:val="bs-Latn-BA"/>
        </w:rPr>
      </w:pPr>
      <w:r w:rsidRPr="00815D06">
        <w:rPr>
          <w:rStyle w:val="FootnoteReference"/>
          <w:rFonts w:ascii="Times New Roman" w:hAnsi="Times New Roman" w:cs="Times New Roman"/>
          <w:lang w:val="bs-Latn-BA"/>
        </w:rPr>
        <w:footnoteRef/>
      </w:r>
      <w:r w:rsidRPr="00815D06">
        <w:rPr>
          <w:rFonts w:ascii="Times New Roman" w:hAnsi="Times New Roman" w:cs="Times New Roman"/>
          <w:lang w:val="bs-Latn-BA"/>
        </w:rPr>
        <w:t xml:space="preserve"> Kako bi pokazatelj bio mjerljiv, potrebno je utvrditi odgovarajuću jedinicu mjere koja može npr. biti broj, postotak i sl.</w:t>
      </w:r>
    </w:p>
  </w:footnote>
  <w:footnote w:id="2">
    <w:p w14:paraId="5D48A590" w14:textId="77777777" w:rsidR="00F92C68" w:rsidRPr="00815D06" w:rsidRDefault="00F92C68" w:rsidP="00F92C68">
      <w:pPr>
        <w:pStyle w:val="FootnoteText"/>
        <w:jc w:val="both"/>
        <w:rPr>
          <w:rFonts w:ascii="Times New Roman" w:hAnsi="Times New Roman" w:cs="Times New Roman"/>
          <w:lang w:val="bs-Latn-BA"/>
        </w:rPr>
      </w:pPr>
      <w:r w:rsidRPr="00815D06">
        <w:rPr>
          <w:rStyle w:val="FootnoteReference"/>
          <w:rFonts w:ascii="Times New Roman" w:hAnsi="Times New Roman" w:cs="Times New Roman"/>
          <w:lang w:val="bs-Latn-BA"/>
        </w:rPr>
        <w:footnoteRef/>
      </w:r>
      <w:r w:rsidRPr="00815D06">
        <w:rPr>
          <w:rFonts w:ascii="Times New Roman" w:hAnsi="Times New Roman" w:cs="Times New Roman"/>
          <w:lang w:val="bs-Latn-BA"/>
        </w:rPr>
        <w:t xml:space="preserve"> Disagregacija pokazatelja je postupak koji se koristi kako bi se bolje razumjeli efekti propisa na različite grupe. Pokazatelji koji se odnose na ljude bi trebali biti razvrstani po polu. To ne mora istovremeno značiti da su i rodno osjetljivi i obratno, npr. broj porodilja se ne može razvrstati po polu, ali je rodno osjetljiv pokazatelj. Za institucije BiH ključna je disagregacija</w:t>
      </w:r>
      <w:r>
        <w:rPr>
          <w:rFonts w:ascii="Times New Roman" w:hAnsi="Times New Roman" w:cs="Times New Roman"/>
          <w:lang w:val="bs-Latn-BA"/>
        </w:rPr>
        <w:t xml:space="preserve"> po nivoima vlasti (entiteti, Brčko distrikt</w:t>
      </w:r>
      <w:r w:rsidRPr="00815D06">
        <w:rPr>
          <w:rFonts w:ascii="Times New Roman" w:hAnsi="Times New Roman" w:cs="Times New Roman"/>
          <w:lang w:val="bs-Latn-BA"/>
        </w:rPr>
        <w:t xml:space="preserve"> </w:t>
      </w:r>
      <w:r w:rsidRPr="00EB7CB3">
        <w:rPr>
          <w:rFonts w:ascii="Times New Roman" w:eastAsia="Times New Roman" w:hAnsi="Times New Roman" w:cs="Times New Roman"/>
          <w:bCs/>
        </w:rPr>
        <w:t>Bosne i Hercegovine</w:t>
      </w:r>
      <w:r w:rsidRPr="00815D06">
        <w:rPr>
          <w:rFonts w:ascii="Times New Roman" w:hAnsi="Times New Roman" w:cs="Times New Roman"/>
          <w:lang w:val="bs-Latn-BA"/>
        </w:rPr>
        <w:t>), a za same entitete disagregacija po kantonima i općinama u F</w:t>
      </w:r>
      <w:r>
        <w:rPr>
          <w:rFonts w:ascii="Times New Roman" w:hAnsi="Times New Roman" w:cs="Times New Roman"/>
          <w:lang w:val="bs-Latn-BA"/>
        </w:rPr>
        <w:t xml:space="preserve">ederaciji </w:t>
      </w:r>
      <w:r w:rsidRPr="00EB7CB3">
        <w:rPr>
          <w:rFonts w:ascii="Times New Roman" w:eastAsia="Times New Roman" w:hAnsi="Times New Roman" w:cs="Times New Roman"/>
          <w:bCs/>
        </w:rPr>
        <w:t>Bosne i Hercegovine</w:t>
      </w:r>
      <w:r w:rsidRPr="00815D06">
        <w:rPr>
          <w:rFonts w:ascii="Times New Roman" w:hAnsi="Times New Roman" w:cs="Times New Roman"/>
          <w:lang w:val="bs-Latn-BA"/>
        </w:rPr>
        <w:t xml:space="preserve">, odnosno po općinama u </w:t>
      </w:r>
      <w:r>
        <w:rPr>
          <w:rFonts w:ascii="Times New Roman" w:hAnsi="Times New Roman" w:cs="Times New Roman"/>
          <w:lang w:val="bs-Latn-BA"/>
        </w:rPr>
        <w:t>Republici Srpskoj</w:t>
      </w:r>
      <w:r w:rsidRPr="00815D06">
        <w:rPr>
          <w:rFonts w:ascii="Times New Roman" w:hAnsi="Times New Roman" w:cs="Times New Roman"/>
          <w:lang w:val="bs-Latn-BA"/>
        </w:rPr>
        <w:t>. Potrebno je razmotriti mogućnost prikupljanja dodatnih podataka za podkatergorije muškaraca i žena koje su u višestruko ranjivom položaju. Npr. za broj nezaposlenih porodilja koje su ostvarile pravo na porodiljnu naknadu, disagregacija može biti na Romkinje, samohrane majke, že</w:t>
      </w:r>
      <w:r>
        <w:rPr>
          <w:rFonts w:ascii="Times New Roman" w:hAnsi="Times New Roman" w:cs="Times New Roman"/>
          <w:lang w:val="bs-Latn-BA"/>
        </w:rPr>
        <w:t>ne s invaliditetom i sl. Takođe</w:t>
      </w:r>
      <w:r w:rsidRPr="00815D06">
        <w:rPr>
          <w:rFonts w:ascii="Times New Roman" w:hAnsi="Times New Roman" w:cs="Times New Roman"/>
          <w:lang w:val="bs-Latn-BA"/>
        </w:rPr>
        <w:t xml:space="preserve">, npr. za pokazatelj postotak samohranih roditelja koji su kroz socijalne transfere prešli socijalni minimum u </w:t>
      </w:r>
      <w:r>
        <w:rPr>
          <w:rFonts w:ascii="Times New Roman" w:eastAsia="Times New Roman" w:hAnsi="Times New Roman" w:cs="Times New Roman"/>
          <w:bCs/>
        </w:rPr>
        <w:t>Bosni i Hercegovini</w:t>
      </w:r>
      <w:r w:rsidRPr="00815D06">
        <w:rPr>
          <w:rFonts w:ascii="Times New Roman" w:hAnsi="Times New Roman" w:cs="Times New Roman"/>
          <w:lang w:val="bs-Latn-BA"/>
        </w:rPr>
        <w:t xml:space="preserve">, disagregacija </w:t>
      </w:r>
      <w:r>
        <w:rPr>
          <w:rFonts w:ascii="Times New Roman" w:hAnsi="Times New Roman" w:cs="Times New Roman"/>
          <w:lang w:val="bs-Latn-BA"/>
        </w:rPr>
        <w:t>bi trebala biti po polu. Ključno</w:t>
      </w:r>
      <w:r w:rsidRPr="00815D06">
        <w:rPr>
          <w:rFonts w:ascii="Times New Roman" w:hAnsi="Times New Roman" w:cs="Times New Roman"/>
          <w:lang w:val="bs-Latn-BA"/>
        </w:rPr>
        <w:t xml:space="preserve"> je da se i za svaki nivo disagregacije trebaju postaviti ciljane vrijednosti pokazatelja.</w:t>
      </w:r>
    </w:p>
  </w:footnote>
  <w:footnote w:id="3">
    <w:p w14:paraId="47048045" w14:textId="77777777" w:rsidR="00F92C68" w:rsidRPr="00815D06" w:rsidRDefault="00F92C68" w:rsidP="00F92C68">
      <w:pPr>
        <w:pStyle w:val="FootnoteText"/>
        <w:jc w:val="both"/>
        <w:rPr>
          <w:rFonts w:ascii="Times New Roman" w:hAnsi="Times New Roman" w:cs="Times New Roman"/>
          <w:lang w:val="bs-Latn-BA"/>
        </w:rPr>
      </w:pPr>
      <w:r w:rsidRPr="00815D06">
        <w:rPr>
          <w:rStyle w:val="FootnoteReference"/>
          <w:rFonts w:ascii="Times New Roman" w:hAnsi="Times New Roman" w:cs="Times New Roman"/>
          <w:lang w:val="bs-Latn-BA"/>
        </w:rPr>
        <w:footnoteRef/>
      </w:r>
      <w:r w:rsidRPr="00815D06">
        <w:rPr>
          <w:rFonts w:ascii="Times New Roman" w:hAnsi="Times New Roman" w:cs="Times New Roman"/>
          <w:lang w:val="bs-Latn-BA"/>
        </w:rPr>
        <w:t xml:space="preserve"> Ciljane vrijednosti pokazatelja trebaju biti dovoljno ambiciozne da bi se uopće opravdalo ulaganje sredstava, ali s druge strane ne preambiciozne. U određenim slučajevima, ciljane vrijednosti su već utvrđene određenom strategijom Vijeća ministara ili npr. od strane Evropske unije.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4B2"/>
    <w:multiLevelType w:val="multilevel"/>
    <w:tmpl w:val="2EA8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12A1D"/>
    <w:multiLevelType w:val="multilevel"/>
    <w:tmpl w:val="88CA1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954334"/>
    <w:multiLevelType w:val="multilevel"/>
    <w:tmpl w:val="D3E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C1605"/>
    <w:multiLevelType w:val="multilevel"/>
    <w:tmpl w:val="D4D48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2159A"/>
    <w:multiLevelType w:val="multilevel"/>
    <w:tmpl w:val="B23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07EC1"/>
    <w:multiLevelType w:val="multilevel"/>
    <w:tmpl w:val="2DCC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560C5"/>
    <w:multiLevelType w:val="multilevel"/>
    <w:tmpl w:val="4D8E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1319F"/>
    <w:multiLevelType w:val="hybridMultilevel"/>
    <w:tmpl w:val="8C925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F7D36"/>
    <w:multiLevelType w:val="multilevel"/>
    <w:tmpl w:val="840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75457"/>
    <w:multiLevelType w:val="multilevel"/>
    <w:tmpl w:val="8974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F7C1D"/>
    <w:multiLevelType w:val="multilevel"/>
    <w:tmpl w:val="7B06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615B9"/>
    <w:multiLevelType w:val="multilevel"/>
    <w:tmpl w:val="233C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6214F"/>
    <w:multiLevelType w:val="multilevel"/>
    <w:tmpl w:val="3346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9099B"/>
    <w:multiLevelType w:val="multilevel"/>
    <w:tmpl w:val="7C96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B3B95"/>
    <w:multiLevelType w:val="multilevel"/>
    <w:tmpl w:val="015C6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A3793"/>
    <w:multiLevelType w:val="multilevel"/>
    <w:tmpl w:val="7FC8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F352BB"/>
    <w:multiLevelType w:val="hybridMultilevel"/>
    <w:tmpl w:val="8C925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53356"/>
    <w:multiLevelType w:val="multilevel"/>
    <w:tmpl w:val="40B27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671E5"/>
    <w:multiLevelType w:val="multilevel"/>
    <w:tmpl w:val="7FE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06829"/>
    <w:multiLevelType w:val="hybridMultilevel"/>
    <w:tmpl w:val="4EC42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93FF4"/>
    <w:multiLevelType w:val="multilevel"/>
    <w:tmpl w:val="8E329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B3EB4"/>
    <w:multiLevelType w:val="multilevel"/>
    <w:tmpl w:val="8DF6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A3033"/>
    <w:multiLevelType w:val="multilevel"/>
    <w:tmpl w:val="9D6E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06313"/>
    <w:multiLevelType w:val="multilevel"/>
    <w:tmpl w:val="215C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42E02"/>
    <w:multiLevelType w:val="multilevel"/>
    <w:tmpl w:val="66B8F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E6D2B"/>
    <w:multiLevelType w:val="multilevel"/>
    <w:tmpl w:val="D07E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135923"/>
    <w:multiLevelType w:val="multilevel"/>
    <w:tmpl w:val="CE20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642683">
    <w:abstractNumId w:val="19"/>
  </w:num>
  <w:num w:numId="2" w16cid:durableId="1258909153">
    <w:abstractNumId w:val="17"/>
  </w:num>
  <w:num w:numId="3" w16cid:durableId="30769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916739">
    <w:abstractNumId w:val="20"/>
  </w:num>
  <w:num w:numId="5" w16cid:durableId="1683118211">
    <w:abstractNumId w:val="24"/>
  </w:num>
  <w:num w:numId="6" w16cid:durableId="36273581">
    <w:abstractNumId w:val="12"/>
  </w:num>
  <w:num w:numId="7" w16cid:durableId="1259799006">
    <w:abstractNumId w:val="3"/>
  </w:num>
  <w:num w:numId="8" w16cid:durableId="1343627419">
    <w:abstractNumId w:val="23"/>
  </w:num>
  <w:num w:numId="9" w16cid:durableId="1559702315">
    <w:abstractNumId w:val="14"/>
  </w:num>
  <w:num w:numId="10" w16cid:durableId="531042588">
    <w:abstractNumId w:val="25"/>
  </w:num>
  <w:num w:numId="11" w16cid:durableId="356004307">
    <w:abstractNumId w:val="9"/>
  </w:num>
  <w:num w:numId="12" w16cid:durableId="417293125">
    <w:abstractNumId w:val="7"/>
  </w:num>
  <w:num w:numId="13" w16cid:durableId="873082805">
    <w:abstractNumId w:val="10"/>
  </w:num>
  <w:num w:numId="14" w16cid:durableId="331377799">
    <w:abstractNumId w:val="16"/>
  </w:num>
  <w:num w:numId="15" w16cid:durableId="762994755">
    <w:abstractNumId w:val="11"/>
  </w:num>
  <w:num w:numId="16" w16cid:durableId="1403940690">
    <w:abstractNumId w:val="8"/>
  </w:num>
  <w:num w:numId="17" w16cid:durableId="1507742146">
    <w:abstractNumId w:val="15"/>
  </w:num>
  <w:num w:numId="18" w16cid:durableId="1101074057">
    <w:abstractNumId w:val="18"/>
  </w:num>
  <w:num w:numId="19" w16cid:durableId="658197866">
    <w:abstractNumId w:val="21"/>
  </w:num>
  <w:num w:numId="20" w16cid:durableId="255940510">
    <w:abstractNumId w:val="5"/>
  </w:num>
  <w:num w:numId="21" w16cid:durableId="1741444486">
    <w:abstractNumId w:val="2"/>
  </w:num>
  <w:num w:numId="22" w16cid:durableId="2047097155">
    <w:abstractNumId w:val="4"/>
  </w:num>
  <w:num w:numId="23" w16cid:durableId="752046877">
    <w:abstractNumId w:val="0"/>
  </w:num>
  <w:num w:numId="24" w16cid:durableId="1192378992">
    <w:abstractNumId w:val="6"/>
  </w:num>
  <w:num w:numId="25" w16cid:durableId="739446231">
    <w:abstractNumId w:val="13"/>
  </w:num>
  <w:num w:numId="26" w16cid:durableId="965892479">
    <w:abstractNumId w:val="26"/>
  </w:num>
  <w:num w:numId="27" w16cid:durableId="1820206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68"/>
    <w:rsid w:val="00033349"/>
    <w:rsid w:val="000A4C76"/>
    <w:rsid w:val="000A6C6A"/>
    <w:rsid w:val="000B1D0F"/>
    <w:rsid w:val="000D531F"/>
    <w:rsid w:val="000D637D"/>
    <w:rsid w:val="001B04CD"/>
    <w:rsid w:val="001E51A1"/>
    <w:rsid w:val="001E7FCA"/>
    <w:rsid w:val="001F1A7E"/>
    <w:rsid w:val="001F2E92"/>
    <w:rsid w:val="001F398A"/>
    <w:rsid w:val="002A40C1"/>
    <w:rsid w:val="003031BE"/>
    <w:rsid w:val="003149EF"/>
    <w:rsid w:val="0038084E"/>
    <w:rsid w:val="003B3636"/>
    <w:rsid w:val="003F21D6"/>
    <w:rsid w:val="0041615B"/>
    <w:rsid w:val="00433009"/>
    <w:rsid w:val="00455681"/>
    <w:rsid w:val="004640EC"/>
    <w:rsid w:val="004C3188"/>
    <w:rsid w:val="004C4D68"/>
    <w:rsid w:val="004D7559"/>
    <w:rsid w:val="00524884"/>
    <w:rsid w:val="005756E7"/>
    <w:rsid w:val="005823C8"/>
    <w:rsid w:val="00585BA5"/>
    <w:rsid w:val="005922D2"/>
    <w:rsid w:val="005942C6"/>
    <w:rsid w:val="005A5806"/>
    <w:rsid w:val="005B1585"/>
    <w:rsid w:val="005D358E"/>
    <w:rsid w:val="00614AFE"/>
    <w:rsid w:val="006714A5"/>
    <w:rsid w:val="00687378"/>
    <w:rsid w:val="00692A17"/>
    <w:rsid w:val="006C0E76"/>
    <w:rsid w:val="007451FC"/>
    <w:rsid w:val="00792194"/>
    <w:rsid w:val="007B2259"/>
    <w:rsid w:val="00810D27"/>
    <w:rsid w:val="00850F92"/>
    <w:rsid w:val="008815A3"/>
    <w:rsid w:val="00881E57"/>
    <w:rsid w:val="008D71F6"/>
    <w:rsid w:val="009047F1"/>
    <w:rsid w:val="009D1E75"/>
    <w:rsid w:val="00A068AC"/>
    <w:rsid w:val="00A42474"/>
    <w:rsid w:val="00A43D0F"/>
    <w:rsid w:val="00AA4B15"/>
    <w:rsid w:val="00AD3104"/>
    <w:rsid w:val="00AE6110"/>
    <w:rsid w:val="00AF33F8"/>
    <w:rsid w:val="00B72311"/>
    <w:rsid w:val="00B80711"/>
    <w:rsid w:val="00C1588F"/>
    <w:rsid w:val="00C55CD1"/>
    <w:rsid w:val="00C70B2A"/>
    <w:rsid w:val="00C94EEE"/>
    <w:rsid w:val="00CC049E"/>
    <w:rsid w:val="00CE273A"/>
    <w:rsid w:val="00CF3341"/>
    <w:rsid w:val="00D03082"/>
    <w:rsid w:val="00D6063A"/>
    <w:rsid w:val="00D705DA"/>
    <w:rsid w:val="00E21AB5"/>
    <w:rsid w:val="00E7017A"/>
    <w:rsid w:val="00E8290B"/>
    <w:rsid w:val="00EB174C"/>
    <w:rsid w:val="00EB3DC8"/>
    <w:rsid w:val="00EF7B48"/>
    <w:rsid w:val="00F00DAF"/>
    <w:rsid w:val="00F5341C"/>
    <w:rsid w:val="00F828C3"/>
    <w:rsid w:val="00F92C68"/>
    <w:rsid w:val="00FC410C"/>
    <w:rsid w:val="00FF77A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08FD"/>
  <w15:docId w15:val="{E95750B4-4E47-4352-82C6-3B480FB2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68"/>
  </w:style>
  <w:style w:type="paragraph" w:styleId="Heading2">
    <w:name w:val="heading 2"/>
    <w:basedOn w:val="Normal"/>
    <w:link w:val="Heading2Char"/>
    <w:uiPriority w:val="9"/>
    <w:semiHidden/>
    <w:unhideWhenUsed/>
    <w:qFormat/>
    <w:rsid w:val="00810D2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unhideWhenUsed/>
    <w:qFormat/>
    <w:rsid w:val="00810D2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semiHidden/>
    <w:unhideWhenUsed/>
    <w:qFormat/>
    <w:rsid w:val="0052488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Fußnote,Footnote Text Char1,Fußnotentext Char Char2 Char,Char Char1 Char2 Char,Fußnotentext Char Char Char1 Char,Char Char1 Char Char1 Char,Footnote Text1,Footnotes,ALTS FOOTNOTE"/>
    <w:basedOn w:val="Normal"/>
    <w:link w:val="FootnoteTextChar"/>
    <w:uiPriority w:val="99"/>
    <w:unhideWhenUsed/>
    <w:rsid w:val="00F92C68"/>
    <w:pPr>
      <w:spacing w:after="0" w:line="240" w:lineRule="auto"/>
    </w:pPr>
    <w:rPr>
      <w:rFonts w:eastAsiaTheme="minorEastAsia"/>
      <w:sz w:val="20"/>
      <w:szCs w:val="20"/>
      <w:lang w:val="en-US" w:eastAsia="bs-Latn-BA"/>
    </w:rPr>
  </w:style>
  <w:style w:type="character" w:customStyle="1" w:styleId="FootnoteTextChar">
    <w:name w:val="Footnote Text Char"/>
    <w:aliases w:val="Footnote Text Char Char Char Char,Footnote Text Char Char Char1,Fußnote Char,Footnote Text Char1 Char,Fußnotentext Char Char2 Char Char,Char Char1 Char2 Char Char,Fußnotentext Char Char Char1 Char Char,Char Char1 Char Char1 Char Char"/>
    <w:basedOn w:val="DefaultParagraphFont"/>
    <w:link w:val="FootnoteText"/>
    <w:uiPriority w:val="99"/>
    <w:rsid w:val="00F92C68"/>
    <w:rPr>
      <w:rFonts w:eastAsiaTheme="minorEastAsia"/>
      <w:sz w:val="20"/>
      <w:szCs w:val="20"/>
      <w:lang w:val="en-US" w:eastAsia="bs-Latn-BA"/>
    </w:rPr>
  </w:style>
  <w:style w:type="character" w:styleId="FootnoteReference">
    <w:name w:val="footnote reference"/>
    <w:aliases w:val="BVI fnr,Footnote symbol,Footnote reference number,ftref,Footnote Reference Superscript"/>
    <w:basedOn w:val="DefaultParagraphFont"/>
    <w:uiPriority w:val="99"/>
    <w:unhideWhenUsed/>
    <w:rsid w:val="00F92C68"/>
    <w:rPr>
      <w:vertAlign w:val="superscript"/>
    </w:rPr>
  </w:style>
  <w:style w:type="paragraph" w:styleId="ListParagraph">
    <w:name w:val="List Paragraph"/>
    <w:basedOn w:val="Normal"/>
    <w:uiPriority w:val="34"/>
    <w:qFormat/>
    <w:rsid w:val="00D705DA"/>
    <w:pPr>
      <w:ind w:left="720"/>
      <w:contextualSpacing/>
    </w:pPr>
  </w:style>
  <w:style w:type="paragraph" w:styleId="NormalWeb">
    <w:name w:val="Normal (Web)"/>
    <w:basedOn w:val="Normal"/>
    <w:uiPriority w:val="99"/>
    <w:unhideWhenUsed/>
    <w:rsid w:val="00AD31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D3104"/>
    <w:rPr>
      <w:b/>
      <w:bCs/>
    </w:rPr>
  </w:style>
  <w:style w:type="character" w:customStyle="1" w:styleId="cf01">
    <w:name w:val="cf01"/>
    <w:basedOn w:val="DefaultParagraphFont"/>
    <w:rsid w:val="000B1D0F"/>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810D27"/>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810D27"/>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CC049E"/>
    <w:rPr>
      <w:i/>
      <w:iCs/>
    </w:rPr>
  </w:style>
  <w:style w:type="character" w:customStyle="1" w:styleId="Heading5Char">
    <w:name w:val="Heading 5 Char"/>
    <w:basedOn w:val="DefaultParagraphFont"/>
    <w:link w:val="Heading5"/>
    <w:uiPriority w:val="9"/>
    <w:semiHidden/>
    <w:rsid w:val="00524884"/>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4D7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9942">
      <w:bodyDiv w:val="1"/>
      <w:marLeft w:val="0"/>
      <w:marRight w:val="0"/>
      <w:marTop w:val="0"/>
      <w:marBottom w:val="0"/>
      <w:divBdr>
        <w:top w:val="none" w:sz="0" w:space="0" w:color="auto"/>
        <w:left w:val="none" w:sz="0" w:space="0" w:color="auto"/>
        <w:bottom w:val="none" w:sz="0" w:space="0" w:color="auto"/>
        <w:right w:val="none" w:sz="0" w:space="0" w:color="auto"/>
      </w:divBdr>
    </w:div>
    <w:div w:id="195001093">
      <w:bodyDiv w:val="1"/>
      <w:marLeft w:val="0"/>
      <w:marRight w:val="0"/>
      <w:marTop w:val="0"/>
      <w:marBottom w:val="0"/>
      <w:divBdr>
        <w:top w:val="none" w:sz="0" w:space="0" w:color="auto"/>
        <w:left w:val="none" w:sz="0" w:space="0" w:color="auto"/>
        <w:bottom w:val="none" w:sz="0" w:space="0" w:color="auto"/>
        <w:right w:val="none" w:sz="0" w:space="0" w:color="auto"/>
      </w:divBdr>
    </w:div>
    <w:div w:id="264964369">
      <w:bodyDiv w:val="1"/>
      <w:marLeft w:val="0"/>
      <w:marRight w:val="0"/>
      <w:marTop w:val="0"/>
      <w:marBottom w:val="0"/>
      <w:divBdr>
        <w:top w:val="none" w:sz="0" w:space="0" w:color="auto"/>
        <w:left w:val="none" w:sz="0" w:space="0" w:color="auto"/>
        <w:bottom w:val="none" w:sz="0" w:space="0" w:color="auto"/>
        <w:right w:val="none" w:sz="0" w:space="0" w:color="auto"/>
      </w:divBdr>
    </w:div>
    <w:div w:id="560025547">
      <w:bodyDiv w:val="1"/>
      <w:marLeft w:val="0"/>
      <w:marRight w:val="0"/>
      <w:marTop w:val="0"/>
      <w:marBottom w:val="0"/>
      <w:divBdr>
        <w:top w:val="none" w:sz="0" w:space="0" w:color="auto"/>
        <w:left w:val="none" w:sz="0" w:space="0" w:color="auto"/>
        <w:bottom w:val="none" w:sz="0" w:space="0" w:color="auto"/>
        <w:right w:val="none" w:sz="0" w:space="0" w:color="auto"/>
      </w:divBdr>
    </w:div>
    <w:div w:id="593243001">
      <w:bodyDiv w:val="1"/>
      <w:marLeft w:val="0"/>
      <w:marRight w:val="0"/>
      <w:marTop w:val="0"/>
      <w:marBottom w:val="0"/>
      <w:divBdr>
        <w:top w:val="none" w:sz="0" w:space="0" w:color="auto"/>
        <w:left w:val="none" w:sz="0" w:space="0" w:color="auto"/>
        <w:bottom w:val="none" w:sz="0" w:space="0" w:color="auto"/>
        <w:right w:val="none" w:sz="0" w:space="0" w:color="auto"/>
      </w:divBdr>
    </w:div>
    <w:div w:id="671877057">
      <w:bodyDiv w:val="1"/>
      <w:marLeft w:val="0"/>
      <w:marRight w:val="0"/>
      <w:marTop w:val="0"/>
      <w:marBottom w:val="0"/>
      <w:divBdr>
        <w:top w:val="none" w:sz="0" w:space="0" w:color="auto"/>
        <w:left w:val="none" w:sz="0" w:space="0" w:color="auto"/>
        <w:bottom w:val="none" w:sz="0" w:space="0" w:color="auto"/>
        <w:right w:val="none" w:sz="0" w:space="0" w:color="auto"/>
      </w:divBdr>
    </w:div>
    <w:div w:id="933978229">
      <w:bodyDiv w:val="1"/>
      <w:marLeft w:val="0"/>
      <w:marRight w:val="0"/>
      <w:marTop w:val="0"/>
      <w:marBottom w:val="0"/>
      <w:divBdr>
        <w:top w:val="none" w:sz="0" w:space="0" w:color="auto"/>
        <w:left w:val="none" w:sz="0" w:space="0" w:color="auto"/>
        <w:bottom w:val="none" w:sz="0" w:space="0" w:color="auto"/>
        <w:right w:val="none" w:sz="0" w:space="0" w:color="auto"/>
      </w:divBdr>
    </w:div>
    <w:div w:id="967198663">
      <w:bodyDiv w:val="1"/>
      <w:marLeft w:val="0"/>
      <w:marRight w:val="0"/>
      <w:marTop w:val="0"/>
      <w:marBottom w:val="0"/>
      <w:divBdr>
        <w:top w:val="none" w:sz="0" w:space="0" w:color="auto"/>
        <w:left w:val="none" w:sz="0" w:space="0" w:color="auto"/>
        <w:bottom w:val="none" w:sz="0" w:space="0" w:color="auto"/>
        <w:right w:val="none" w:sz="0" w:space="0" w:color="auto"/>
      </w:divBdr>
    </w:div>
    <w:div w:id="1013453211">
      <w:bodyDiv w:val="1"/>
      <w:marLeft w:val="0"/>
      <w:marRight w:val="0"/>
      <w:marTop w:val="0"/>
      <w:marBottom w:val="0"/>
      <w:divBdr>
        <w:top w:val="none" w:sz="0" w:space="0" w:color="auto"/>
        <w:left w:val="none" w:sz="0" w:space="0" w:color="auto"/>
        <w:bottom w:val="none" w:sz="0" w:space="0" w:color="auto"/>
        <w:right w:val="none" w:sz="0" w:space="0" w:color="auto"/>
      </w:divBdr>
    </w:div>
    <w:div w:id="1023287246">
      <w:bodyDiv w:val="1"/>
      <w:marLeft w:val="0"/>
      <w:marRight w:val="0"/>
      <w:marTop w:val="0"/>
      <w:marBottom w:val="0"/>
      <w:divBdr>
        <w:top w:val="none" w:sz="0" w:space="0" w:color="auto"/>
        <w:left w:val="none" w:sz="0" w:space="0" w:color="auto"/>
        <w:bottom w:val="none" w:sz="0" w:space="0" w:color="auto"/>
        <w:right w:val="none" w:sz="0" w:space="0" w:color="auto"/>
      </w:divBdr>
    </w:div>
    <w:div w:id="1025521056">
      <w:bodyDiv w:val="1"/>
      <w:marLeft w:val="0"/>
      <w:marRight w:val="0"/>
      <w:marTop w:val="0"/>
      <w:marBottom w:val="0"/>
      <w:divBdr>
        <w:top w:val="none" w:sz="0" w:space="0" w:color="auto"/>
        <w:left w:val="none" w:sz="0" w:space="0" w:color="auto"/>
        <w:bottom w:val="none" w:sz="0" w:space="0" w:color="auto"/>
        <w:right w:val="none" w:sz="0" w:space="0" w:color="auto"/>
      </w:divBdr>
    </w:div>
    <w:div w:id="1052971749">
      <w:bodyDiv w:val="1"/>
      <w:marLeft w:val="0"/>
      <w:marRight w:val="0"/>
      <w:marTop w:val="0"/>
      <w:marBottom w:val="0"/>
      <w:divBdr>
        <w:top w:val="none" w:sz="0" w:space="0" w:color="auto"/>
        <w:left w:val="none" w:sz="0" w:space="0" w:color="auto"/>
        <w:bottom w:val="none" w:sz="0" w:space="0" w:color="auto"/>
        <w:right w:val="none" w:sz="0" w:space="0" w:color="auto"/>
      </w:divBdr>
    </w:div>
    <w:div w:id="1112477226">
      <w:bodyDiv w:val="1"/>
      <w:marLeft w:val="0"/>
      <w:marRight w:val="0"/>
      <w:marTop w:val="0"/>
      <w:marBottom w:val="0"/>
      <w:divBdr>
        <w:top w:val="none" w:sz="0" w:space="0" w:color="auto"/>
        <w:left w:val="none" w:sz="0" w:space="0" w:color="auto"/>
        <w:bottom w:val="none" w:sz="0" w:space="0" w:color="auto"/>
        <w:right w:val="none" w:sz="0" w:space="0" w:color="auto"/>
      </w:divBdr>
    </w:div>
    <w:div w:id="1117406958">
      <w:bodyDiv w:val="1"/>
      <w:marLeft w:val="0"/>
      <w:marRight w:val="0"/>
      <w:marTop w:val="0"/>
      <w:marBottom w:val="0"/>
      <w:divBdr>
        <w:top w:val="none" w:sz="0" w:space="0" w:color="auto"/>
        <w:left w:val="none" w:sz="0" w:space="0" w:color="auto"/>
        <w:bottom w:val="none" w:sz="0" w:space="0" w:color="auto"/>
        <w:right w:val="none" w:sz="0" w:space="0" w:color="auto"/>
      </w:divBdr>
    </w:div>
    <w:div w:id="1158112555">
      <w:bodyDiv w:val="1"/>
      <w:marLeft w:val="0"/>
      <w:marRight w:val="0"/>
      <w:marTop w:val="0"/>
      <w:marBottom w:val="0"/>
      <w:divBdr>
        <w:top w:val="none" w:sz="0" w:space="0" w:color="auto"/>
        <w:left w:val="none" w:sz="0" w:space="0" w:color="auto"/>
        <w:bottom w:val="none" w:sz="0" w:space="0" w:color="auto"/>
        <w:right w:val="none" w:sz="0" w:space="0" w:color="auto"/>
      </w:divBdr>
    </w:div>
    <w:div w:id="1448967830">
      <w:bodyDiv w:val="1"/>
      <w:marLeft w:val="0"/>
      <w:marRight w:val="0"/>
      <w:marTop w:val="0"/>
      <w:marBottom w:val="0"/>
      <w:divBdr>
        <w:top w:val="none" w:sz="0" w:space="0" w:color="auto"/>
        <w:left w:val="none" w:sz="0" w:space="0" w:color="auto"/>
        <w:bottom w:val="none" w:sz="0" w:space="0" w:color="auto"/>
        <w:right w:val="none" w:sz="0" w:space="0" w:color="auto"/>
      </w:divBdr>
    </w:div>
    <w:div w:id="1649045866">
      <w:bodyDiv w:val="1"/>
      <w:marLeft w:val="0"/>
      <w:marRight w:val="0"/>
      <w:marTop w:val="0"/>
      <w:marBottom w:val="0"/>
      <w:divBdr>
        <w:top w:val="none" w:sz="0" w:space="0" w:color="auto"/>
        <w:left w:val="none" w:sz="0" w:space="0" w:color="auto"/>
        <w:bottom w:val="none" w:sz="0" w:space="0" w:color="auto"/>
        <w:right w:val="none" w:sz="0" w:space="0" w:color="auto"/>
      </w:divBdr>
    </w:div>
    <w:div w:id="1994721464">
      <w:bodyDiv w:val="1"/>
      <w:marLeft w:val="0"/>
      <w:marRight w:val="0"/>
      <w:marTop w:val="0"/>
      <w:marBottom w:val="0"/>
      <w:divBdr>
        <w:top w:val="none" w:sz="0" w:space="0" w:color="auto"/>
        <w:left w:val="none" w:sz="0" w:space="0" w:color="auto"/>
        <w:bottom w:val="none" w:sz="0" w:space="0" w:color="auto"/>
        <w:right w:val="none" w:sz="0" w:space="0" w:color="auto"/>
      </w:divBdr>
    </w:div>
    <w:div w:id="213112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jn.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8450</Words>
  <Characters>48169</Characters>
  <Application>Microsoft Office Word</Application>
  <DocSecurity>4</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 Grubešić</dc:creator>
  <cp:lastModifiedBy>Belma Secibovic</cp:lastModifiedBy>
  <cp:revision>2</cp:revision>
  <dcterms:created xsi:type="dcterms:W3CDTF">2025-10-22T10:41:00Z</dcterms:created>
  <dcterms:modified xsi:type="dcterms:W3CDTF">2025-10-22T10:41:00Z</dcterms:modified>
</cp:coreProperties>
</file>