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E0" w:rsidRPr="00DA6742" w:rsidRDefault="00BA5CE0" w:rsidP="00A9332B">
      <w:pPr>
        <w:pStyle w:val="NoSpacing"/>
        <w:jc w:val="right"/>
        <w:rPr>
          <w:rFonts w:eastAsia="Calibri"/>
          <w:b/>
          <w:noProof/>
          <w:sz w:val="22"/>
          <w:szCs w:val="22"/>
          <w:lang w:val="sr-Latn-BA"/>
        </w:rPr>
      </w:pPr>
      <w:bookmarkStart w:id="0" w:name="_GoBack"/>
      <w:bookmarkEnd w:id="0"/>
      <w:r w:rsidRPr="00DA6742">
        <w:rPr>
          <w:rFonts w:eastAsia="Calibri"/>
          <w:b/>
          <w:noProof/>
          <w:sz w:val="22"/>
          <w:szCs w:val="22"/>
          <w:lang w:val="sr-Latn-BA"/>
        </w:rPr>
        <w:t>П Р Е Д Н А Ц Р Т</w:t>
      </w:r>
    </w:p>
    <w:p w:rsidR="00694AAB" w:rsidRPr="00DA6742" w:rsidRDefault="00694AAB" w:rsidP="00A9332B">
      <w:pPr>
        <w:pStyle w:val="NoSpacing"/>
        <w:jc w:val="both"/>
        <w:rPr>
          <w:rFonts w:eastAsia="Calibri"/>
          <w:noProof/>
          <w:sz w:val="22"/>
          <w:szCs w:val="22"/>
          <w:lang w:val="sr-Latn-BA"/>
        </w:rPr>
      </w:pPr>
    </w:p>
    <w:p w:rsidR="00F65151" w:rsidRPr="00DA6742" w:rsidRDefault="00F65151" w:rsidP="00A9332B">
      <w:pPr>
        <w:pStyle w:val="NoSpacing"/>
        <w:jc w:val="both"/>
        <w:rPr>
          <w:rFonts w:eastAsia="Calibri"/>
          <w:noProof/>
          <w:sz w:val="22"/>
          <w:szCs w:val="22"/>
          <w:lang w:val="sr-Cyrl-BA"/>
        </w:rPr>
      </w:pPr>
    </w:p>
    <w:p w:rsidR="00CA3A0D" w:rsidRPr="00DA6742" w:rsidRDefault="00CA3A0D" w:rsidP="00A75FAC">
      <w:pPr>
        <w:pStyle w:val="NoSpacing"/>
        <w:ind w:firstLine="426"/>
        <w:jc w:val="both"/>
        <w:rPr>
          <w:rFonts w:eastAsia="Calibri"/>
          <w:noProof/>
          <w:sz w:val="22"/>
          <w:szCs w:val="22"/>
          <w:lang w:val="sr-Latn-BA"/>
        </w:rPr>
      </w:pPr>
      <w:r w:rsidRPr="00DA6742">
        <w:rPr>
          <w:rFonts w:eastAsia="Calibri"/>
          <w:noProof/>
          <w:sz w:val="22"/>
          <w:szCs w:val="22"/>
          <w:lang w:val="sr-Latn-BA"/>
        </w:rPr>
        <w:t>На основу члана 15. Закона о Управи за индиректно опорезивање (''Службени гласник БиХ", број 89/05) и члана 61. став 2. Закона о управи ("Службени гласник БиХ", бр. 32/02, 102/09 и 72/17), директор Управе за индиректно опорезивање доноси</w:t>
      </w:r>
    </w:p>
    <w:p w:rsidR="00CA3A0D" w:rsidRPr="00DA6742" w:rsidRDefault="00CA3A0D" w:rsidP="00A9332B">
      <w:pPr>
        <w:pStyle w:val="NoSpacing"/>
        <w:jc w:val="both"/>
        <w:rPr>
          <w:noProof/>
          <w:sz w:val="22"/>
          <w:szCs w:val="22"/>
          <w:lang w:val="sr-Latn-BA"/>
        </w:rPr>
      </w:pPr>
    </w:p>
    <w:p w:rsidR="00CA3A0D" w:rsidRPr="00DA6742" w:rsidRDefault="00CA3A0D" w:rsidP="00A9332B">
      <w:pPr>
        <w:pStyle w:val="NoSpacing"/>
        <w:jc w:val="both"/>
        <w:rPr>
          <w:noProof/>
          <w:sz w:val="22"/>
          <w:szCs w:val="22"/>
          <w:lang w:val="sr-Latn-BA"/>
        </w:rPr>
      </w:pPr>
    </w:p>
    <w:p w:rsidR="00CA3A0D" w:rsidRPr="00DA6742" w:rsidRDefault="00CA3A0D" w:rsidP="00A9332B">
      <w:pPr>
        <w:pStyle w:val="NoSpacing"/>
        <w:jc w:val="both"/>
        <w:rPr>
          <w:noProof/>
          <w:sz w:val="22"/>
          <w:szCs w:val="22"/>
          <w:lang w:val="sr-Latn-BA"/>
        </w:rPr>
      </w:pPr>
    </w:p>
    <w:p w:rsidR="00CA3A0D" w:rsidRPr="00DA6742" w:rsidRDefault="00CA3A0D" w:rsidP="00A9332B">
      <w:pPr>
        <w:pStyle w:val="NoSpacing"/>
        <w:jc w:val="center"/>
        <w:rPr>
          <w:b/>
          <w:noProof/>
          <w:sz w:val="22"/>
          <w:szCs w:val="22"/>
          <w:lang w:val="sr-Latn-BA"/>
        </w:rPr>
      </w:pPr>
      <w:r w:rsidRPr="00DA6742">
        <w:rPr>
          <w:b/>
          <w:noProof/>
          <w:sz w:val="22"/>
          <w:szCs w:val="22"/>
          <w:lang w:val="sr-Latn-BA"/>
        </w:rPr>
        <w:t>У П У Т С Т В О</w:t>
      </w:r>
    </w:p>
    <w:p w:rsidR="00CA3A0D" w:rsidRPr="00DA6742" w:rsidRDefault="00CA3A0D" w:rsidP="00A9332B">
      <w:pPr>
        <w:pStyle w:val="NoSpacing"/>
        <w:jc w:val="center"/>
        <w:rPr>
          <w:b/>
          <w:noProof/>
          <w:sz w:val="22"/>
          <w:szCs w:val="22"/>
          <w:lang w:val="sr-Latn-BA"/>
        </w:rPr>
      </w:pPr>
    </w:p>
    <w:p w:rsidR="00CA3A0D" w:rsidRPr="00DA6742" w:rsidRDefault="00CA3A0D" w:rsidP="00A9332B">
      <w:pPr>
        <w:pStyle w:val="NoSpacing"/>
        <w:jc w:val="center"/>
        <w:rPr>
          <w:b/>
          <w:noProof/>
          <w:sz w:val="22"/>
          <w:szCs w:val="22"/>
          <w:lang w:val="sr-Latn-BA"/>
        </w:rPr>
      </w:pPr>
      <w:r w:rsidRPr="00DA6742">
        <w:rPr>
          <w:b/>
          <w:noProof/>
          <w:sz w:val="22"/>
          <w:szCs w:val="22"/>
          <w:lang w:val="sr-Latn-BA"/>
        </w:rPr>
        <w:t>О ДОПУН</w:t>
      </w:r>
      <w:r w:rsidR="00924883" w:rsidRPr="00DA6742">
        <w:rPr>
          <w:b/>
          <w:noProof/>
          <w:sz w:val="22"/>
          <w:szCs w:val="22"/>
          <w:lang w:val="sr-Cyrl-BA"/>
        </w:rPr>
        <w:t>И</w:t>
      </w:r>
      <w:r w:rsidRPr="00DA6742">
        <w:rPr>
          <w:b/>
          <w:noProof/>
          <w:sz w:val="22"/>
          <w:szCs w:val="22"/>
          <w:lang w:val="sr-Latn-BA"/>
        </w:rPr>
        <w:t xml:space="preserve"> УПУТСТВА О ПОЈЕДНОСТАВЉЕНОМ</w:t>
      </w:r>
    </w:p>
    <w:p w:rsidR="00CA3A0D" w:rsidRPr="00DA6742" w:rsidRDefault="00CA3A0D" w:rsidP="00A9332B">
      <w:pPr>
        <w:pStyle w:val="NoSpacing"/>
        <w:jc w:val="center"/>
        <w:rPr>
          <w:b/>
          <w:noProof/>
          <w:sz w:val="22"/>
          <w:szCs w:val="22"/>
          <w:lang w:val="sr-Latn-BA"/>
        </w:rPr>
      </w:pPr>
      <w:r w:rsidRPr="00DA6742">
        <w:rPr>
          <w:b/>
          <w:noProof/>
          <w:sz w:val="22"/>
          <w:szCs w:val="22"/>
          <w:lang w:val="sr-Latn-BA"/>
        </w:rPr>
        <w:t>ЦАРИНСКОМ ПОСТУПКУ ПО ФАКТУРИ</w:t>
      </w:r>
    </w:p>
    <w:p w:rsidR="00CA3A0D" w:rsidRPr="00DA6742" w:rsidRDefault="00CA3A0D" w:rsidP="00A9332B">
      <w:pPr>
        <w:pStyle w:val="NoSpacing"/>
        <w:jc w:val="both"/>
        <w:rPr>
          <w:noProof/>
          <w:sz w:val="22"/>
          <w:szCs w:val="22"/>
          <w:lang w:val="sr-Latn-BA"/>
        </w:rPr>
      </w:pPr>
    </w:p>
    <w:p w:rsidR="00CA3A0D" w:rsidRPr="00DA6742" w:rsidRDefault="00CA3A0D" w:rsidP="00A9332B">
      <w:pPr>
        <w:pStyle w:val="NoSpacing"/>
        <w:jc w:val="both"/>
        <w:rPr>
          <w:noProof/>
          <w:sz w:val="22"/>
          <w:szCs w:val="22"/>
          <w:lang w:val="sr-Latn-BA"/>
        </w:rPr>
      </w:pPr>
    </w:p>
    <w:p w:rsidR="00215D74" w:rsidRPr="00DA6742" w:rsidRDefault="00215D74" w:rsidP="00A9332B">
      <w:pPr>
        <w:pStyle w:val="NoSpacing"/>
        <w:jc w:val="both"/>
        <w:rPr>
          <w:noProof/>
          <w:sz w:val="22"/>
          <w:szCs w:val="22"/>
          <w:lang w:val="sr-Latn-BA"/>
        </w:rPr>
      </w:pPr>
    </w:p>
    <w:p w:rsidR="000F7CD4" w:rsidRPr="00DA6742" w:rsidRDefault="003722D8" w:rsidP="00A9332B">
      <w:pPr>
        <w:pStyle w:val="NoSpacing"/>
        <w:jc w:val="center"/>
        <w:rPr>
          <w:b/>
          <w:noProof/>
          <w:sz w:val="22"/>
          <w:szCs w:val="22"/>
          <w:lang w:val="sr-Latn-BA"/>
        </w:rPr>
      </w:pPr>
      <w:r w:rsidRPr="00DA6742">
        <w:rPr>
          <w:b/>
          <w:noProof/>
          <w:sz w:val="22"/>
          <w:szCs w:val="22"/>
          <w:lang w:val="sr-Latn-BA"/>
        </w:rPr>
        <w:t>Члан</w:t>
      </w:r>
      <w:r w:rsidR="000F7CD4" w:rsidRPr="00DA6742">
        <w:rPr>
          <w:b/>
          <w:noProof/>
          <w:sz w:val="22"/>
          <w:szCs w:val="22"/>
          <w:lang w:val="sr-Latn-BA"/>
        </w:rPr>
        <w:t xml:space="preserve"> 1.</w:t>
      </w:r>
    </w:p>
    <w:p w:rsidR="00EC2942" w:rsidRPr="00DA6742" w:rsidRDefault="00EC2942" w:rsidP="00A9332B">
      <w:pPr>
        <w:pStyle w:val="NoSpacing"/>
        <w:jc w:val="both"/>
        <w:rPr>
          <w:noProof/>
          <w:sz w:val="22"/>
          <w:szCs w:val="22"/>
          <w:lang w:val="sr-Latn-BA"/>
        </w:rPr>
      </w:pPr>
    </w:p>
    <w:p w:rsidR="00AE2E13" w:rsidRPr="00DA6742" w:rsidRDefault="003722D8" w:rsidP="00A75FAC">
      <w:pPr>
        <w:pStyle w:val="NoSpacing"/>
        <w:ind w:firstLine="426"/>
        <w:jc w:val="both"/>
        <w:rPr>
          <w:noProof/>
          <w:sz w:val="22"/>
          <w:szCs w:val="22"/>
          <w:lang w:val="sr-Latn-BA"/>
        </w:rPr>
      </w:pPr>
      <w:r w:rsidRPr="00DA6742">
        <w:rPr>
          <w:noProof/>
          <w:sz w:val="22"/>
          <w:szCs w:val="22"/>
          <w:lang w:val="sr-Latn-BA"/>
        </w:rPr>
        <w:t>У</w:t>
      </w:r>
      <w:r w:rsidR="000F7CD4" w:rsidRPr="00DA6742">
        <w:rPr>
          <w:noProof/>
          <w:sz w:val="22"/>
          <w:szCs w:val="22"/>
          <w:lang w:val="sr-Latn-BA"/>
        </w:rPr>
        <w:t xml:space="preserve"> </w:t>
      </w:r>
      <w:r w:rsidRPr="00DA6742">
        <w:rPr>
          <w:noProof/>
          <w:sz w:val="22"/>
          <w:szCs w:val="22"/>
          <w:lang w:val="sr-Latn-BA"/>
        </w:rPr>
        <w:t>Упутству</w:t>
      </w:r>
      <w:r w:rsidR="000F7CD4" w:rsidRPr="00DA6742">
        <w:rPr>
          <w:noProof/>
          <w:sz w:val="22"/>
          <w:szCs w:val="22"/>
          <w:lang w:val="sr-Latn-BA"/>
        </w:rPr>
        <w:t xml:space="preserve"> </w:t>
      </w:r>
      <w:r w:rsidRPr="00DA6742">
        <w:rPr>
          <w:noProof/>
          <w:sz w:val="22"/>
          <w:szCs w:val="22"/>
          <w:lang w:val="sr-Latn-BA"/>
        </w:rPr>
        <w:t>о</w:t>
      </w:r>
      <w:r w:rsidR="000F7CD4" w:rsidRPr="00DA6742">
        <w:rPr>
          <w:noProof/>
          <w:sz w:val="22"/>
          <w:szCs w:val="22"/>
          <w:lang w:val="sr-Latn-BA"/>
        </w:rPr>
        <w:t xml:space="preserve"> </w:t>
      </w:r>
      <w:r w:rsidRPr="00DA6742">
        <w:rPr>
          <w:noProof/>
          <w:sz w:val="22"/>
          <w:szCs w:val="22"/>
          <w:lang w:val="sr-Latn-BA"/>
        </w:rPr>
        <w:t>поједностављеном</w:t>
      </w:r>
      <w:r w:rsidR="00935A85" w:rsidRPr="00DA6742">
        <w:rPr>
          <w:noProof/>
          <w:sz w:val="22"/>
          <w:szCs w:val="22"/>
          <w:lang w:val="sr-Latn-BA"/>
        </w:rPr>
        <w:t xml:space="preserve"> </w:t>
      </w:r>
      <w:r w:rsidRPr="00DA6742">
        <w:rPr>
          <w:noProof/>
          <w:sz w:val="22"/>
          <w:szCs w:val="22"/>
          <w:lang w:val="sr-Latn-BA"/>
        </w:rPr>
        <w:t>царинском</w:t>
      </w:r>
      <w:r w:rsidR="00935A85" w:rsidRPr="00DA6742">
        <w:rPr>
          <w:noProof/>
          <w:sz w:val="22"/>
          <w:szCs w:val="22"/>
          <w:lang w:val="sr-Latn-BA"/>
        </w:rPr>
        <w:t xml:space="preserve"> </w:t>
      </w:r>
      <w:r w:rsidRPr="00DA6742">
        <w:rPr>
          <w:noProof/>
          <w:sz w:val="22"/>
          <w:szCs w:val="22"/>
          <w:lang w:val="sr-Latn-BA"/>
        </w:rPr>
        <w:t>поступку</w:t>
      </w:r>
      <w:r w:rsidR="00935A85" w:rsidRPr="00DA6742">
        <w:rPr>
          <w:noProof/>
          <w:sz w:val="22"/>
          <w:szCs w:val="22"/>
          <w:lang w:val="sr-Latn-BA"/>
        </w:rPr>
        <w:t xml:space="preserve"> </w:t>
      </w:r>
      <w:r w:rsidRPr="00DA6742">
        <w:rPr>
          <w:noProof/>
          <w:sz w:val="22"/>
          <w:szCs w:val="22"/>
          <w:lang w:val="sr-Latn-BA"/>
        </w:rPr>
        <w:t>по</w:t>
      </w:r>
      <w:r w:rsidR="00935A85" w:rsidRPr="00DA6742">
        <w:rPr>
          <w:noProof/>
          <w:sz w:val="22"/>
          <w:szCs w:val="22"/>
          <w:lang w:val="sr-Latn-BA"/>
        </w:rPr>
        <w:t xml:space="preserve"> </w:t>
      </w:r>
      <w:r w:rsidRPr="00DA6742">
        <w:rPr>
          <w:noProof/>
          <w:sz w:val="22"/>
          <w:szCs w:val="22"/>
          <w:lang w:val="sr-Latn-BA"/>
        </w:rPr>
        <w:t>фактури</w:t>
      </w:r>
      <w:r w:rsidR="00DA77DF" w:rsidRPr="00DA6742">
        <w:rPr>
          <w:noProof/>
          <w:sz w:val="22"/>
          <w:szCs w:val="22"/>
          <w:lang w:val="sr-Latn-BA"/>
        </w:rPr>
        <w:t xml:space="preserve"> (''</w:t>
      </w:r>
      <w:r w:rsidRPr="00DA6742">
        <w:rPr>
          <w:noProof/>
          <w:sz w:val="22"/>
          <w:szCs w:val="22"/>
          <w:lang w:val="sr-Latn-BA"/>
        </w:rPr>
        <w:t>Службени</w:t>
      </w:r>
      <w:r w:rsidR="003A2892" w:rsidRPr="00DA6742">
        <w:rPr>
          <w:noProof/>
          <w:sz w:val="22"/>
          <w:szCs w:val="22"/>
          <w:lang w:val="sr-Latn-BA"/>
        </w:rPr>
        <w:t xml:space="preserve"> </w:t>
      </w:r>
      <w:r w:rsidRPr="00DA6742">
        <w:rPr>
          <w:noProof/>
          <w:sz w:val="22"/>
          <w:szCs w:val="22"/>
          <w:lang w:val="sr-Latn-BA"/>
        </w:rPr>
        <w:t>гласник</w:t>
      </w:r>
      <w:r w:rsidR="003A2892" w:rsidRPr="00DA6742">
        <w:rPr>
          <w:noProof/>
          <w:sz w:val="22"/>
          <w:szCs w:val="22"/>
          <w:lang w:val="sr-Latn-BA"/>
        </w:rPr>
        <w:t xml:space="preserve"> </w:t>
      </w:r>
      <w:r w:rsidRPr="00DA6742">
        <w:rPr>
          <w:noProof/>
          <w:sz w:val="22"/>
          <w:szCs w:val="22"/>
          <w:lang w:val="sr-Latn-BA"/>
        </w:rPr>
        <w:t>БиХ</w:t>
      </w:r>
      <w:r w:rsidR="00DA77DF" w:rsidRPr="00DA6742">
        <w:rPr>
          <w:noProof/>
          <w:sz w:val="22"/>
          <w:szCs w:val="22"/>
          <w:lang w:val="sr-Latn-BA"/>
        </w:rPr>
        <w:t>''</w:t>
      </w:r>
      <w:r w:rsidR="003A2892" w:rsidRPr="00DA6742">
        <w:rPr>
          <w:noProof/>
          <w:sz w:val="22"/>
          <w:szCs w:val="22"/>
          <w:lang w:val="sr-Latn-BA"/>
        </w:rPr>
        <w:t xml:space="preserve">, </w:t>
      </w:r>
      <w:r w:rsidRPr="00DA6742">
        <w:rPr>
          <w:noProof/>
          <w:sz w:val="22"/>
          <w:szCs w:val="22"/>
          <w:lang w:val="sr-Latn-BA"/>
        </w:rPr>
        <w:t>бр</w:t>
      </w:r>
      <w:r w:rsidR="00F65151" w:rsidRPr="00DA6742">
        <w:rPr>
          <w:noProof/>
          <w:sz w:val="22"/>
          <w:szCs w:val="22"/>
          <w:lang w:val="sr-Cyrl-BA"/>
        </w:rPr>
        <w:t>.</w:t>
      </w:r>
      <w:r w:rsidR="00CA3A0D" w:rsidRPr="00DA6742">
        <w:rPr>
          <w:noProof/>
          <w:sz w:val="22"/>
          <w:szCs w:val="22"/>
          <w:lang w:val="sr-Latn-BA"/>
        </w:rPr>
        <w:t xml:space="preserve"> 10/23</w:t>
      </w:r>
      <w:r w:rsidR="00F65151" w:rsidRPr="00DA6742">
        <w:rPr>
          <w:noProof/>
          <w:sz w:val="22"/>
          <w:szCs w:val="22"/>
          <w:lang w:val="sr-Cyrl-BA"/>
        </w:rPr>
        <w:t xml:space="preserve"> и 80/24</w:t>
      </w:r>
      <w:r w:rsidR="00A40464" w:rsidRPr="00DA6742">
        <w:rPr>
          <w:noProof/>
          <w:sz w:val="22"/>
          <w:szCs w:val="22"/>
          <w:lang w:val="sr-Latn-BA"/>
        </w:rPr>
        <w:t>)</w:t>
      </w:r>
      <w:r w:rsidR="000F7CD4" w:rsidRPr="00DA6742">
        <w:rPr>
          <w:noProof/>
          <w:sz w:val="22"/>
          <w:szCs w:val="22"/>
          <w:lang w:val="sr-Latn-BA"/>
        </w:rPr>
        <w:t xml:space="preserve"> </w:t>
      </w:r>
      <w:r w:rsidR="00CA3A0D" w:rsidRPr="00DA6742">
        <w:rPr>
          <w:noProof/>
          <w:sz w:val="22"/>
          <w:szCs w:val="22"/>
          <w:lang w:val="sr-Latn-BA"/>
        </w:rPr>
        <w:t>у Прилогу 1</w:t>
      </w:r>
      <w:r w:rsidR="00EC2942" w:rsidRPr="00DA6742">
        <w:rPr>
          <w:noProof/>
          <w:sz w:val="22"/>
          <w:szCs w:val="22"/>
          <w:lang w:val="sr-Latn-BA"/>
        </w:rPr>
        <w:t xml:space="preserve">. </w:t>
      </w:r>
      <w:r w:rsidR="000075F3" w:rsidRPr="00DA6742">
        <w:rPr>
          <w:noProof/>
          <w:sz w:val="22"/>
          <w:szCs w:val="22"/>
          <w:lang w:val="sr-Latn-BA"/>
        </w:rPr>
        <w:t>(</w:t>
      </w:r>
      <w:r w:rsidR="00621A19" w:rsidRPr="00DA6742">
        <w:rPr>
          <w:noProof/>
          <w:sz w:val="22"/>
          <w:szCs w:val="22"/>
          <w:lang w:val="sr-Latn-BA"/>
        </w:rPr>
        <w:t>Списак роб</w:t>
      </w:r>
      <w:r w:rsidR="00CA3A0D" w:rsidRPr="00DA6742">
        <w:rPr>
          <w:noProof/>
          <w:sz w:val="22"/>
          <w:szCs w:val="22"/>
          <w:lang w:val="sr-Latn-BA"/>
        </w:rPr>
        <w:t>е</w:t>
      </w:r>
      <w:r w:rsidR="00EC2942" w:rsidRPr="00DA6742">
        <w:rPr>
          <w:noProof/>
          <w:sz w:val="22"/>
          <w:szCs w:val="22"/>
          <w:lang w:val="sr-Latn-BA"/>
        </w:rPr>
        <w:t xml:space="preserve"> за поједностављени поступак по фактури</w:t>
      </w:r>
      <w:r w:rsidR="000075F3" w:rsidRPr="00DA6742">
        <w:rPr>
          <w:noProof/>
          <w:sz w:val="22"/>
          <w:szCs w:val="22"/>
          <w:lang w:val="sr-Latn-BA"/>
        </w:rPr>
        <w:t>)</w:t>
      </w:r>
      <w:r w:rsidR="007521B6" w:rsidRPr="00DA6742">
        <w:rPr>
          <w:noProof/>
          <w:sz w:val="22"/>
          <w:szCs w:val="22"/>
          <w:lang w:val="sr-Latn-BA"/>
        </w:rPr>
        <w:t xml:space="preserve"> из члана 8</w:t>
      </w:r>
      <w:r w:rsidR="00EC2942" w:rsidRPr="00DA6742">
        <w:rPr>
          <w:noProof/>
          <w:sz w:val="22"/>
          <w:szCs w:val="22"/>
          <w:lang w:val="sr-Latn-BA"/>
        </w:rPr>
        <w:t>. врш</w:t>
      </w:r>
      <w:r w:rsidR="00924883" w:rsidRPr="00DA6742">
        <w:rPr>
          <w:noProof/>
          <w:sz w:val="22"/>
          <w:szCs w:val="22"/>
          <w:lang w:val="sr-Latn-BA"/>
        </w:rPr>
        <w:t>и</w:t>
      </w:r>
      <w:r w:rsidR="00A40464" w:rsidRPr="00DA6742">
        <w:rPr>
          <w:noProof/>
          <w:sz w:val="22"/>
          <w:szCs w:val="22"/>
          <w:lang w:val="sr-Latn-BA"/>
        </w:rPr>
        <w:t xml:space="preserve"> се допун</w:t>
      </w:r>
      <w:r w:rsidR="00924883" w:rsidRPr="00DA6742">
        <w:rPr>
          <w:noProof/>
          <w:sz w:val="22"/>
          <w:szCs w:val="22"/>
          <w:lang w:val="sr-Cyrl-BA"/>
        </w:rPr>
        <w:t>а</w:t>
      </w:r>
      <w:r w:rsidR="00EC2942" w:rsidRPr="00DA6742">
        <w:rPr>
          <w:noProof/>
          <w:sz w:val="22"/>
          <w:szCs w:val="22"/>
          <w:lang w:val="sr-Latn-BA"/>
        </w:rPr>
        <w:t xml:space="preserve"> </w:t>
      </w:r>
      <w:r w:rsidR="00AE2E13" w:rsidRPr="00DA6742">
        <w:rPr>
          <w:noProof/>
          <w:sz w:val="22"/>
          <w:szCs w:val="22"/>
          <w:lang w:val="sr-Latn-BA"/>
        </w:rPr>
        <w:t>како глас</w:t>
      </w:r>
      <w:r w:rsidR="00A75FAC" w:rsidRPr="00DA6742">
        <w:rPr>
          <w:noProof/>
          <w:sz w:val="22"/>
          <w:szCs w:val="22"/>
          <w:lang w:val="sr-Cyrl-BA"/>
        </w:rPr>
        <w:t>и</w:t>
      </w:r>
      <w:r w:rsidR="006E3594" w:rsidRPr="00DA6742">
        <w:rPr>
          <w:noProof/>
          <w:sz w:val="22"/>
          <w:szCs w:val="22"/>
          <w:lang w:val="sr-Latn-BA"/>
        </w:rPr>
        <w:t>:</w:t>
      </w:r>
    </w:p>
    <w:p w:rsidR="00854408" w:rsidRPr="00DA6742" w:rsidRDefault="001B7FD1" w:rsidP="00A75FAC">
      <w:pPr>
        <w:pStyle w:val="NoSpacing"/>
        <w:ind w:left="426"/>
        <w:jc w:val="both"/>
        <w:rPr>
          <w:noProof/>
          <w:sz w:val="22"/>
          <w:szCs w:val="22"/>
          <w:lang w:val="sr-Latn-BA"/>
        </w:rPr>
      </w:pPr>
      <w:r w:rsidRPr="00DA6742">
        <w:rPr>
          <w:noProof/>
          <w:sz w:val="22"/>
          <w:szCs w:val="22"/>
          <w:lang w:val="sr-Latn-BA"/>
        </w:rPr>
        <w:t xml:space="preserve">"под тачком </w:t>
      </w:r>
      <w:r w:rsidR="00F65151" w:rsidRPr="00DA6742">
        <w:rPr>
          <w:noProof/>
          <w:sz w:val="22"/>
          <w:szCs w:val="22"/>
          <w:lang w:val="sr-Cyrl-BA"/>
        </w:rPr>
        <w:t>1</w:t>
      </w:r>
      <w:r w:rsidR="00B61002" w:rsidRPr="00DA6742">
        <w:rPr>
          <w:noProof/>
          <w:sz w:val="22"/>
          <w:szCs w:val="22"/>
          <w:lang w:val="sr-Latn-BA"/>
        </w:rPr>
        <w:t xml:space="preserve">. </w:t>
      </w:r>
      <w:r w:rsidR="00F65151" w:rsidRPr="00DA6742">
        <w:rPr>
          <w:noProof/>
          <w:sz w:val="22"/>
          <w:szCs w:val="22"/>
          <w:lang w:val="sr-Latn-BA"/>
        </w:rPr>
        <w:t>ПОСТУПАК ИЗВОЗА (члан 7. став (1) тачка а</w:t>
      </w:r>
      <w:r w:rsidR="007521B6" w:rsidRPr="00DA6742">
        <w:rPr>
          <w:noProof/>
          <w:sz w:val="22"/>
          <w:szCs w:val="22"/>
          <w:lang w:val="sr-Latn-BA"/>
        </w:rPr>
        <w:t xml:space="preserve">) овог упутства), </w:t>
      </w:r>
      <w:r w:rsidR="00AF7075" w:rsidRPr="00DA6742">
        <w:rPr>
          <w:noProof/>
          <w:sz w:val="22"/>
          <w:szCs w:val="22"/>
          <w:lang w:val="sr-Latn-BA"/>
        </w:rPr>
        <w:t xml:space="preserve">иза редног броја </w:t>
      </w:r>
      <w:r w:rsidR="00F65151" w:rsidRPr="00DA6742">
        <w:rPr>
          <w:noProof/>
          <w:sz w:val="22"/>
          <w:szCs w:val="22"/>
          <w:lang w:val="sr-Latn-BA"/>
        </w:rPr>
        <w:t>52.</w:t>
      </w:r>
      <w:r w:rsidR="00F65151" w:rsidRPr="00DA6742">
        <w:rPr>
          <w:noProof/>
          <w:sz w:val="22"/>
          <w:szCs w:val="22"/>
          <w:lang w:val="sr-Cyrl-BA"/>
        </w:rPr>
        <w:t xml:space="preserve"> </w:t>
      </w:r>
      <w:r w:rsidR="00AF4B6C" w:rsidRPr="00DA6742">
        <w:rPr>
          <w:noProof/>
          <w:sz w:val="22"/>
          <w:szCs w:val="22"/>
          <w:lang w:val="sr-Latn-BA"/>
        </w:rPr>
        <w:t>додај</w:t>
      </w:r>
      <w:r w:rsidR="00F65151" w:rsidRPr="00DA6742">
        <w:rPr>
          <w:noProof/>
          <w:sz w:val="22"/>
          <w:szCs w:val="22"/>
          <w:lang w:val="sr-Cyrl-BA"/>
        </w:rPr>
        <w:t>е</w:t>
      </w:r>
      <w:r w:rsidR="00854408" w:rsidRPr="00DA6742">
        <w:rPr>
          <w:noProof/>
          <w:sz w:val="22"/>
          <w:szCs w:val="22"/>
          <w:lang w:val="sr-Latn-BA"/>
        </w:rPr>
        <w:t xml:space="preserve"> се нови редни број</w:t>
      </w:r>
      <w:r w:rsidR="00F65151" w:rsidRPr="00DA6742">
        <w:rPr>
          <w:noProof/>
          <w:sz w:val="22"/>
          <w:szCs w:val="22"/>
          <w:lang w:val="sr-Cyrl-BA"/>
        </w:rPr>
        <w:t xml:space="preserve"> 53.</w:t>
      </w:r>
      <w:r w:rsidR="007521B6" w:rsidRPr="00DA6742">
        <w:rPr>
          <w:noProof/>
          <w:sz w:val="22"/>
          <w:szCs w:val="22"/>
          <w:lang w:val="sr-Latn-BA"/>
        </w:rPr>
        <w:t xml:space="preserve"> </w:t>
      </w:r>
      <w:r w:rsidR="00854408" w:rsidRPr="00DA6742">
        <w:rPr>
          <w:noProof/>
          <w:sz w:val="22"/>
          <w:szCs w:val="22"/>
          <w:lang w:val="sr-Latn-BA"/>
        </w:rPr>
        <w:t>који глас</w:t>
      </w:r>
      <w:r w:rsidR="00F65151" w:rsidRPr="00DA6742">
        <w:rPr>
          <w:noProof/>
          <w:sz w:val="22"/>
          <w:szCs w:val="22"/>
          <w:lang w:val="sr-Cyrl-BA"/>
        </w:rPr>
        <w:t>и</w:t>
      </w:r>
      <w:r w:rsidR="00854408" w:rsidRPr="00DA6742">
        <w:rPr>
          <w:noProof/>
          <w:sz w:val="22"/>
          <w:szCs w:val="22"/>
          <w:lang w:val="sr-Latn-BA"/>
        </w:rPr>
        <w:t xml:space="preserve">: </w:t>
      </w:r>
    </w:p>
    <w:p w:rsidR="006E3594" w:rsidRPr="00DA6742" w:rsidRDefault="00AE2E13" w:rsidP="00A9332B">
      <w:pPr>
        <w:pStyle w:val="NoSpacing"/>
        <w:jc w:val="both"/>
        <w:rPr>
          <w:noProof/>
          <w:sz w:val="22"/>
          <w:szCs w:val="22"/>
          <w:lang w:val="sr-Latn-BA"/>
        </w:rPr>
      </w:pPr>
      <w:r w:rsidRPr="00DA6742">
        <w:rPr>
          <w:noProof/>
          <w:sz w:val="22"/>
          <w:szCs w:val="22"/>
          <w:lang w:val="sr-Latn-BA"/>
        </w:rPr>
        <w:t xml:space="preserve"> </w:t>
      </w:r>
    </w:p>
    <w:tbl>
      <w:tblPr>
        <w:tblW w:w="9213"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6984"/>
        <w:gridCol w:w="1662"/>
      </w:tblGrid>
      <w:tr w:rsidR="00DA6742" w:rsidRPr="00DA6742" w:rsidTr="00A75FAC">
        <w:tc>
          <w:tcPr>
            <w:tcW w:w="567" w:type="dxa"/>
            <w:shd w:val="clear" w:color="auto" w:fill="auto"/>
          </w:tcPr>
          <w:p w:rsidR="00F316CF" w:rsidRPr="00DA6742" w:rsidRDefault="00F65151" w:rsidP="00A9332B">
            <w:pPr>
              <w:pStyle w:val="NoSpacing"/>
              <w:jc w:val="both"/>
              <w:rPr>
                <w:rFonts w:eastAsia="Calibri"/>
                <w:noProof/>
                <w:sz w:val="22"/>
                <w:szCs w:val="22"/>
                <w:lang w:val="sr-Latn-BA"/>
              </w:rPr>
            </w:pPr>
            <w:r w:rsidRPr="00DA6742">
              <w:rPr>
                <w:rFonts w:eastAsia="Calibri"/>
                <w:noProof/>
                <w:sz w:val="22"/>
                <w:szCs w:val="22"/>
                <w:lang w:val="sr-Latn-BA"/>
              </w:rPr>
              <w:t>53</w:t>
            </w:r>
            <w:r w:rsidR="00F316CF" w:rsidRPr="00DA6742">
              <w:rPr>
                <w:rFonts w:eastAsia="Calibri"/>
                <w:noProof/>
                <w:sz w:val="22"/>
                <w:szCs w:val="22"/>
                <w:lang w:val="sr-Latn-BA"/>
              </w:rPr>
              <w:t>.</w:t>
            </w:r>
          </w:p>
        </w:tc>
        <w:tc>
          <w:tcPr>
            <w:tcW w:w="6984" w:type="dxa"/>
            <w:shd w:val="clear" w:color="auto" w:fill="auto"/>
          </w:tcPr>
          <w:p w:rsidR="00F316CF" w:rsidRPr="00DA6742" w:rsidRDefault="00F65151" w:rsidP="00A9332B">
            <w:pPr>
              <w:pStyle w:val="NoSpacing"/>
              <w:ind w:left="57"/>
              <w:jc w:val="both"/>
              <w:rPr>
                <w:sz w:val="22"/>
                <w:szCs w:val="22"/>
                <w:lang w:val="sr-Cyrl-BA"/>
              </w:rPr>
            </w:pPr>
            <w:r w:rsidRPr="00DA6742">
              <w:rPr>
                <w:sz w:val="22"/>
                <w:szCs w:val="22"/>
                <w:lang w:val="sr-Cyrl-BA"/>
              </w:rPr>
              <w:t>Резервоари од гвожђа или челика за било који материјал (осим компримованих или течних гасова) запремине веће од 300 литара, са облогом или без облоге или топлотне изолације, који нису опремљени механичким ни термичким уређајима: - за чврсте материјале</w:t>
            </w:r>
          </w:p>
          <w:p w:rsidR="005349CC" w:rsidRPr="00DA6742" w:rsidRDefault="005349CC" w:rsidP="00A9332B">
            <w:pPr>
              <w:pStyle w:val="NoSpacing"/>
              <w:ind w:left="57"/>
              <w:jc w:val="both"/>
              <w:rPr>
                <w:rFonts w:eastAsia="Calibri"/>
                <w:noProof/>
                <w:sz w:val="22"/>
                <w:szCs w:val="22"/>
                <w:lang w:val="sr-Latn-BA"/>
              </w:rPr>
            </w:pPr>
          </w:p>
        </w:tc>
        <w:tc>
          <w:tcPr>
            <w:tcW w:w="1662" w:type="dxa"/>
            <w:shd w:val="clear" w:color="auto" w:fill="auto"/>
          </w:tcPr>
          <w:p w:rsidR="00F316CF" w:rsidRPr="00DA6742" w:rsidRDefault="00F65151" w:rsidP="00A9332B">
            <w:pPr>
              <w:pStyle w:val="NoSpacing"/>
              <w:ind w:left="113"/>
              <w:rPr>
                <w:rFonts w:eastAsia="Calibri"/>
                <w:noProof/>
                <w:sz w:val="22"/>
                <w:szCs w:val="22"/>
                <w:lang w:val="sr-Latn-BA"/>
              </w:rPr>
            </w:pPr>
            <w:r w:rsidRPr="00DA6742">
              <w:rPr>
                <w:sz w:val="22"/>
                <w:szCs w:val="22"/>
                <w:lang w:val="sr-Cyrl-BA"/>
              </w:rPr>
              <w:t>7309 00 90 00</w:t>
            </w:r>
          </w:p>
        </w:tc>
      </w:tr>
    </w:tbl>
    <w:p w:rsidR="00AE2E13" w:rsidRPr="00DA6742" w:rsidRDefault="00AE2E13" w:rsidP="00A9332B">
      <w:pPr>
        <w:pStyle w:val="NoSpacing"/>
        <w:jc w:val="both"/>
        <w:rPr>
          <w:noProof/>
          <w:sz w:val="22"/>
          <w:szCs w:val="22"/>
          <w:lang w:val="sr-Latn-BA"/>
        </w:rPr>
      </w:pPr>
    </w:p>
    <w:p w:rsidR="00694AAB" w:rsidRPr="00DA6742" w:rsidRDefault="00694AAB" w:rsidP="00A9332B">
      <w:pPr>
        <w:pStyle w:val="NoSpacing"/>
        <w:jc w:val="both"/>
        <w:rPr>
          <w:noProof/>
          <w:sz w:val="22"/>
          <w:szCs w:val="22"/>
          <w:lang w:val="sr-Latn-BA"/>
        </w:rPr>
      </w:pPr>
    </w:p>
    <w:p w:rsidR="009B690B" w:rsidRPr="00DA6742" w:rsidRDefault="003722D8" w:rsidP="00A9332B">
      <w:pPr>
        <w:pStyle w:val="NoSpacing"/>
        <w:jc w:val="center"/>
        <w:rPr>
          <w:b/>
          <w:noProof/>
          <w:sz w:val="22"/>
          <w:szCs w:val="22"/>
          <w:lang w:val="sr-Latn-BA"/>
        </w:rPr>
      </w:pPr>
      <w:r w:rsidRPr="00DA6742">
        <w:rPr>
          <w:b/>
          <w:noProof/>
          <w:sz w:val="22"/>
          <w:szCs w:val="22"/>
          <w:lang w:val="sr-Latn-BA"/>
        </w:rPr>
        <w:t>Члан</w:t>
      </w:r>
      <w:r w:rsidR="00F316CF" w:rsidRPr="00DA6742">
        <w:rPr>
          <w:b/>
          <w:noProof/>
          <w:sz w:val="22"/>
          <w:szCs w:val="22"/>
          <w:lang w:val="sr-Latn-BA"/>
        </w:rPr>
        <w:t xml:space="preserve"> 2</w:t>
      </w:r>
      <w:r w:rsidR="00830771" w:rsidRPr="00DA6742">
        <w:rPr>
          <w:b/>
          <w:noProof/>
          <w:sz w:val="22"/>
          <w:szCs w:val="22"/>
          <w:lang w:val="sr-Latn-BA"/>
        </w:rPr>
        <w:t>.</w:t>
      </w:r>
    </w:p>
    <w:p w:rsidR="002C4BF7" w:rsidRPr="00DA6742" w:rsidRDefault="00E45CE4" w:rsidP="00A9332B">
      <w:pPr>
        <w:pStyle w:val="NoSpacing"/>
        <w:jc w:val="both"/>
        <w:rPr>
          <w:noProof/>
          <w:sz w:val="22"/>
          <w:szCs w:val="22"/>
          <w:lang w:val="sr-Latn-BA"/>
        </w:rPr>
      </w:pPr>
      <w:r w:rsidRPr="00DA6742">
        <w:rPr>
          <w:noProof/>
          <w:sz w:val="22"/>
          <w:szCs w:val="22"/>
          <w:lang w:val="sr-Latn-BA"/>
        </w:rPr>
        <w:t xml:space="preserve">            </w:t>
      </w:r>
    </w:p>
    <w:p w:rsidR="005F2E25" w:rsidRPr="00DA6742" w:rsidRDefault="003722D8" w:rsidP="005F2E25">
      <w:pPr>
        <w:pStyle w:val="NoSpacing"/>
        <w:jc w:val="both"/>
        <w:rPr>
          <w:noProof/>
          <w:sz w:val="22"/>
          <w:szCs w:val="22"/>
          <w:lang w:val="sr-Latn-BA"/>
        </w:rPr>
      </w:pPr>
      <w:r w:rsidRPr="00DA6742">
        <w:rPr>
          <w:noProof/>
          <w:sz w:val="22"/>
          <w:szCs w:val="22"/>
          <w:lang w:val="sr-Latn-BA"/>
        </w:rPr>
        <w:t>Ово</w:t>
      </w:r>
      <w:r w:rsidR="00310EA0" w:rsidRPr="00DA6742">
        <w:rPr>
          <w:noProof/>
          <w:sz w:val="22"/>
          <w:szCs w:val="22"/>
          <w:lang w:val="sr-Latn-BA"/>
        </w:rPr>
        <w:t xml:space="preserve"> </w:t>
      </w:r>
      <w:r w:rsidRPr="00DA6742">
        <w:rPr>
          <w:noProof/>
          <w:sz w:val="22"/>
          <w:szCs w:val="22"/>
          <w:lang w:val="sr-Latn-BA"/>
        </w:rPr>
        <w:t>упутство</w:t>
      </w:r>
      <w:r w:rsidR="00310EA0" w:rsidRPr="00DA6742">
        <w:rPr>
          <w:noProof/>
          <w:sz w:val="22"/>
          <w:szCs w:val="22"/>
          <w:lang w:val="sr-Latn-BA"/>
        </w:rPr>
        <w:t xml:space="preserve"> </w:t>
      </w:r>
      <w:r w:rsidRPr="00DA6742">
        <w:rPr>
          <w:noProof/>
          <w:sz w:val="22"/>
          <w:szCs w:val="22"/>
          <w:lang w:val="sr-Latn-BA"/>
        </w:rPr>
        <w:t>ступа</w:t>
      </w:r>
      <w:r w:rsidR="00830771" w:rsidRPr="00DA6742">
        <w:rPr>
          <w:noProof/>
          <w:sz w:val="22"/>
          <w:szCs w:val="22"/>
          <w:lang w:val="sr-Latn-BA"/>
        </w:rPr>
        <w:t xml:space="preserve"> </w:t>
      </w:r>
      <w:r w:rsidRPr="00DA6742">
        <w:rPr>
          <w:noProof/>
          <w:sz w:val="22"/>
          <w:szCs w:val="22"/>
          <w:lang w:val="sr-Latn-BA"/>
        </w:rPr>
        <w:t>на</w:t>
      </w:r>
      <w:r w:rsidR="00830771" w:rsidRPr="00DA6742">
        <w:rPr>
          <w:noProof/>
          <w:sz w:val="22"/>
          <w:szCs w:val="22"/>
          <w:lang w:val="sr-Latn-BA"/>
        </w:rPr>
        <w:t xml:space="preserve"> </w:t>
      </w:r>
      <w:r w:rsidRPr="00DA6742">
        <w:rPr>
          <w:noProof/>
          <w:sz w:val="22"/>
          <w:szCs w:val="22"/>
          <w:lang w:val="sr-Latn-BA"/>
        </w:rPr>
        <w:t>снагу</w:t>
      </w:r>
      <w:r w:rsidR="00830771" w:rsidRPr="00DA6742">
        <w:rPr>
          <w:noProof/>
          <w:sz w:val="22"/>
          <w:szCs w:val="22"/>
          <w:lang w:val="sr-Latn-BA"/>
        </w:rPr>
        <w:t xml:space="preserve"> </w:t>
      </w:r>
      <w:r w:rsidR="005F2E25" w:rsidRPr="00DA6742">
        <w:rPr>
          <w:noProof/>
          <w:sz w:val="22"/>
          <w:szCs w:val="22"/>
          <w:lang w:val="sr-Latn-BA"/>
        </w:rPr>
        <w:t>наредног дана од дана доношења и објављује се у ''Службеном гласнику БиХ''.</w:t>
      </w:r>
    </w:p>
    <w:p w:rsidR="00C2190A" w:rsidRPr="00DA6742" w:rsidRDefault="00C2190A" w:rsidP="00A9332B">
      <w:pPr>
        <w:pStyle w:val="NoSpacing"/>
        <w:jc w:val="both"/>
        <w:rPr>
          <w:noProof/>
          <w:sz w:val="22"/>
          <w:szCs w:val="22"/>
          <w:lang w:val="sr-Latn-BA"/>
        </w:rPr>
      </w:pPr>
    </w:p>
    <w:p w:rsidR="00DA6742" w:rsidRPr="00DA6742" w:rsidRDefault="00DA6742" w:rsidP="00A9332B">
      <w:pPr>
        <w:pStyle w:val="NoSpacing"/>
        <w:jc w:val="both"/>
        <w:rPr>
          <w:noProof/>
          <w:sz w:val="22"/>
          <w:szCs w:val="22"/>
          <w:lang w:val="sr-Latn-BA"/>
        </w:rPr>
      </w:pPr>
    </w:p>
    <w:p w:rsidR="00DA6742" w:rsidRPr="00B215BC" w:rsidRDefault="00DA6742" w:rsidP="00DA6742">
      <w:pPr>
        <w:pStyle w:val="NoSpacing"/>
        <w:rPr>
          <w:noProof/>
          <w:color w:val="FFFFFF" w:themeColor="background1"/>
          <w:sz w:val="20"/>
          <w:szCs w:val="20"/>
          <w:lang w:val="sr-Latn-BA"/>
        </w:rPr>
      </w:pPr>
      <w:r w:rsidRPr="00B215BC">
        <w:rPr>
          <w:noProof/>
          <w:color w:val="FFFFFF" w:themeColor="background1"/>
          <w:sz w:val="20"/>
          <w:szCs w:val="20"/>
          <w:u w:val="single"/>
          <w:lang w:val="sr-Latn-BA"/>
        </w:rPr>
        <w:t>Миљка Кутић, израдила преднацрт упутства</w:t>
      </w:r>
      <w:r w:rsidRPr="00B215BC">
        <w:rPr>
          <w:noProof/>
          <w:color w:val="FFFFFF" w:themeColor="background1"/>
          <w:sz w:val="20"/>
          <w:szCs w:val="20"/>
          <w:lang w:val="sr-Latn-BA"/>
        </w:rPr>
        <w:t>_____________</w:t>
      </w:r>
    </w:p>
    <w:p w:rsidR="00DA6742" w:rsidRPr="00B215BC" w:rsidRDefault="00DA6742" w:rsidP="00DA6742">
      <w:pPr>
        <w:pStyle w:val="NoSpacing"/>
        <w:rPr>
          <w:noProof/>
          <w:color w:val="FFFFFF" w:themeColor="background1"/>
          <w:sz w:val="20"/>
          <w:szCs w:val="20"/>
          <w:lang w:val="sr-Latn-BA"/>
        </w:rPr>
      </w:pPr>
      <w:r w:rsidRPr="00B215BC">
        <w:rPr>
          <w:noProof/>
          <w:color w:val="FFFFFF" w:themeColor="background1"/>
          <w:sz w:val="20"/>
          <w:szCs w:val="20"/>
          <w:lang w:val="sr-Latn-BA"/>
        </w:rPr>
        <w:t>Име и презиме и параф шефа Одсјека за царинске поступке</w:t>
      </w:r>
    </w:p>
    <w:p w:rsidR="00DA6742" w:rsidRPr="00B215BC" w:rsidRDefault="00DA6742" w:rsidP="00DA6742">
      <w:pPr>
        <w:pStyle w:val="NoSpacing"/>
        <w:rPr>
          <w:noProof/>
          <w:color w:val="FFFFFF" w:themeColor="background1"/>
          <w:sz w:val="20"/>
          <w:szCs w:val="20"/>
          <w:lang w:val="sr-Latn-BA"/>
        </w:rPr>
      </w:pPr>
    </w:p>
    <w:p w:rsidR="00DA6742" w:rsidRPr="00B215BC" w:rsidRDefault="00DA6742" w:rsidP="00DA6742">
      <w:pPr>
        <w:pStyle w:val="NoSpacing"/>
        <w:rPr>
          <w:rFonts w:eastAsia="Calibri"/>
          <w:noProof/>
          <w:color w:val="FFFFFF" w:themeColor="background1"/>
          <w:sz w:val="20"/>
          <w:szCs w:val="20"/>
          <w:lang w:val="sr-Latn-BA"/>
        </w:rPr>
      </w:pPr>
      <w:r w:rsidRPr="00B215BC">
        <w:rPr>
          <w:rFonts w:eastAsia="Calibri"/>
          <w:noProof/>
          <w:color w:val="FFFFFF" w:themeColor="background1"/>
          <w:sz w:val="20"/>
          <w:szCs w:val="20"/>
          <w:u w:val="single"/>
          <w:lang w:val="sr-Latn-BA"/>
        </w:rPr>
        <w:t>Владимир Драгичевић</w:t>
      </w:r>
      <w:r w:rsidRPr="00B215BC">
        <w:rPr>
          <w:rFonts w:eastAsia="Calibri"/>
          <w:noProof/>
          <w:color w:val="FFFFFF" w:themeColor="background1"/>
          <w:sz w:val="20"/>
          <w:szCs w:val="20"/>
          <w:lang w:val="sr-Latn-BA"/>
        </w:rPr>
        <w:t>_____________________________________</w:t>
      </w:r>
    </w:p>
    <w:p w:rsidR="00DA6742" w:rsidRPr="00B215BC" w:rsidRDefault="00DA6742" w:rsidP="00DA6742">
      <w:pPr>
        <w:pStyle w:val="NoSpacing"/>
        <w:rPr>
          <w:rFonts w:eastAsia="Calibri"/>
          <w:noProof/>
          <w:color w:val="FFFFFF" w:themeColor="background1"/>
          <w:lang w:val="sr-Latn-BA"/>
        </w:rPr>
      </w:pPr>
      <w:r w:rsidRPr="00B215BC">
        <w:rPr>
          <w:rFonts w:eastAsia="Calibri"/>
          <w:noProof/>
          <w:color w:val="FFFFFF" w:themeColor="background1"/>
          <w:sz w:val="20"/>
          <w:szCs w:val="20"/>
          <w:lang w:val="sr-Latn-BA"/>
        </w:rPr>
        <w:t>Име и презиме и параф помоћника директора за Сектор за царине</w:t>
      </w:r>
    </w:p>
    <w:p w:rsidR="00BA5CE0" w:rsidRPr="00DA6742" w:rsidRDefault="00BA5CE0" w:rsidP="00ED03DB">
      <w:pPr>
        <w:pStyle w:val="NoSpacing"/>
        <w:rPr>
          <w:noProof/>
          <w:sz w:val="22"/>
          <w:szCs w:val="22"/>
          <w:lang w:val="sr-Latn-BA"/>
        </w:rPr>
      </w:pPr>
    </w:p>
    <w:p w:rsidR="00694AAB" w:rsidRPr="00DA6742" w:rsidRDefault="00694AAB" w:rsidP="00ED03DB">
      <w:pPr>
        <w:pStyle w:val="NoSpacing"/>
        <w:rPr>
          <w:rFonts w:eastAsia="Calibri"/>
          <w:b/>
          <w:noProof/>
          <w:sz w:val="22"/>
          <w:szCs w:val="22"/>
          <w:lang w:val="sr-Latn-BA"/>
        </w:rPr>
      </w:pPr>
      <w:r w:rsidRPr="00DA6742">
        <w:rPr>
          <w:rFonts w:eastAsia="Calibri"/>
          <w:noProof/>
          <w:sz w:val="22"/>
          <w:szCs w:val="22"/>
          <w:lang w:val="sr-Latn-BA"/>
        </w:rPr>
        <w:t xml:space="preserve">                                                                                                                           </w:t>
      </w:r>
      <w:r w:rsidR="00390167" w:rsidRPr="00DA6742">
        <w:rPr>
          <w:rFonts w:eastAsia="Calibri"/>
          <w:noProof/>
          <w:sz w:val="22"/>
          <w:szCs w:val="22"/>
          <w:lang w:val="sr-Cyrl-BA"/>
        </w:rPr>
        <w:t xml:space="preserve"> </w:t>
      </w:r>
      <w:r w:rsidRPr="00DA6742">
        <w:rPr>
          <w:rFonts w:eastAsia="Calibri"/>
          <w:noProof/>
          <w:sz w:val="22"/>
          <w:szCs w:val="22"/>
          <w:lang w:val="sr-Latn-BA"/>
        </w:rPr>
        <w:t xml:space="preserve">    </w:t>
      </w:r>
      <w:r w:rsidR="00BA5CE0" w:rsidRPr="00DA6742">
        <w:rPr>
          <w:rFonts w:eastAsia="Calibri"/>
          <w:noProof/>
          <w:sz w:val="22"/>
          <w:szCs w:val="22"/>
          <w:lang w:val="sr-Latn-BA"/>
        </w:rPr>
        <w:t xml:space="preserve"> </w:t>
      </w:r>
      <w:r w:rsidRPr="00DA6742">
        <w:rPr>
          <w:rFonts w:eastAsia="Calibri"/>
          <w:b/>
          <w:noProof/>
          <w:sz w:val="22"/>
          <w:szCs w:val="22"/>
          <w:lang w:val="sr-Latn-BA"/>
        </w:rPr>
        <w:t>Д И Р Е К Т О Р</w:t>
      </w:r>
    </w:p>
    <w:p w:rsidR="00694AAB" w:rsidRPr="00DA6742" w:rsidRDefault="00694AAB" w:rsidP="00ED03DB">
      <w:pPr>
        <w:pStyle w:val="NoSpacing"/>
        <w:rPr>
          <w:rFonts w:eastAsia="Calibri"/>
          <w:noProof/>
          <w:sz w:val="22"/>
          <w:szCs w:val="22"/>
          <w:lang w:val="sr-Latn-BA"/>
        </w:rPr>
      </w:pPr>
    </w:p>
    <w:p w:rsidR="00694AAB" w:rsidRPr="00DA6742" w:rsidRDefault="00694AAB" w:rsidP="00ED03DB">
      <w:pPr>
        <w:pStyle w:val="NoSpacing"/>
        <w:rPr>
          <w:rFonts w:eastAsia="Calibri"/>
          <w:noProof/>
          <w:sz w:val="22"/>
          <w:szCs w:val="22"/>
          <w:lang w:val="sr-Latn-BA"/>
        </w:rPr>
      </w:pPr>
      <w:r w:rsidRPr="00DA6742">
        <w:rPr>
          <w:rFonts w:eastAsia="Calibri"/>
          <w:noProof/>
          <w:sz w:val="22"/>
          <w:szCs w:val="22"/>
          <w:lang w:val="sr-Latn-BA"/>
        </w:rPr>
        <w:t>Број: 01-02-2-</w:t>
      </w:r>
      <w:r w:rsidR="00390167" w:rsidRPr="00DA6742">
        <w:rPr>
          <w:rFonts w:eastAsia="Calibri"/>
          <w:noProof/>
          <w:sz w:val="22"/>
          <w:szCs w:val="22"/>
          <w:lang w:val="sr-Cyrl-BA"/>
        </w:rPr>
        <w:t xml:space="preserve"> </w:t>
      </w:r>
      <w:r w:rsidR="00390167" w:rsidRPr="00DA6742">
        <w:rPr>
          <w:rFonts w:eastAsia="Calibri"/>
          <w:noProof/>
          <w:sz w:val="22"/>
          <w:szCs w:val="22"/>
          <w:lang w:val="sr-Latn-BA"/>
        </w:rPr>
        <w:t>_</w:t>
      </w:r>
      <w:r w:rsidR="00EE6D07">
        <w:rPr>
          <w:rFonts w:eastAsia="Calibri"/>
          <w:noProof/>
          <w:sz w:val="22"/>
          <w:szCs w:val="22"/>
          <w:lang w:val="sr-Latn-BA"/>
        </w:rPr>
        <w:t>_____</w:t>
      </w:r>
      <w:r w:rsidR="00390167" w:rsidRPr="00DA6742">
        <w:rPr>
          <w:rFonts w:eastAsia="Calibri"/>
          <w:noProof/>
          <w:sz w:val="22"/>
          <w:szCs w:val="22"/>
          <w:lang w:val="sr-Latn-BA"/>
        </w:rPr>
        <w:t>______ /25</w:t>
      </w:r>
    </w:p>
    <w:p w:rsidR="00694AAB" w:rsidRPr="00DA6742" w:rsidRDefault="00B60FCA" w:rsidP="00ED03DB">
      <w:pPr>
        <w:pStyle w:val="NoSpacing"/>
        <w:rPr>
          <w:rFonts w:eastAsia="Calibri"/>
          <w:noProof/>
          <w:sz w:val="22"/>
          <w:szCs w:val="22"/>
          <w:lang w:val="sr-Latn-BA"/>
        </w:rPr>
      </w:pPr>
      <w:r>
        <w:rPr>
          <w:rFonts w:eastAsia="Calibri"/>
          <w:noProof/>
          <w:sz w:val="22"/>
          <w:szCs w:val="22"/>
          <w:lang w:val="sr-Latn-BA"/>
        </w:rPr>
        <w:t>Бања Лука, ______ 2025</w:t>
      </w:r>
      <w:r w:rsidR="00694AAB" w:rsidRPr="00DA6742">
        <w:rPr>
          <w:rFonts w:eastAsia="Calibri"/>
          <w:noProof/>
          <w:sz w:val="22"/>
          <w:szCs w:val="22"/>
          <w:lang w:val="sr-Latn-BA"/>
        </w:rPr>
        <w:t xml:space="preserve">. године                                                                      </w:t>
      </w:r>
      <w:r w:rsidR="00694AAB" w:rsidRPr="00DA6742">
        <w:rPr>
          <w:rFonts w:eastAsia="Calibri"/>
          <w:b/>
          <w:noProof/>
          <w:sz w:val="22"/>
          <w:szCs w:val="22"/>
          <w:lang w:val="sr-Latn-BA"/>
        </w:rPr>
        <w:t>Др  Зоран Тегелтија</w:t>
      </w:r>
    </w:p>
    <w:p w:rsidR="00694AAB" w:rsidRPr="00DA6742" w:rsidRDefault="00694AAB" w:rsidP="00ED03DB">
      <w:pPr>
        <w:pStyle w:val="NoSpacing"/>
        <w:rPr>
          <w:rFonts w:eastAsia="Calibri"/>
          <w:noProof/>
          <w:sz w:val="22"/>
          <w:szCs w:val="22"/>
          <w:lang w:val="sr-Latn-BA"/>
        </w:rPr>
      </w:pPr>
    </w:p>
    <w:p w:rsidR="00694AAB" w:rsidRPr="00DA6742" w:rsidRDefault="00694AAB" w:rsidP="00A9332B">
      <w:pPr>
        <w:pStyle w:val="NoSpacing"/>
        <w:jc w:val="both"/>
        <w:rPr>
          <w:rFonts w:eastAsia="Calibri"/>
          <w:noProof/>
          <w:sz w:val="22"/>
          <w:szCs w:val="22"/>
          <w:lang w:val="sr-Latn-BA"/>
        </w:rPr>
      </w:pPr>
    </w:p>
    <w:p w:rsidR="00D70467" w:rsidRPr="00DA6742" w:rsidRDefault="00D70467" w:rsidP="00A9332B">
      <w:pPr>
        <w:pStyle w:val="NoSpacing"/>
        <w:jc w:val="both"/>
        <w:rPr>
          <w:rFonts w:eastAsia="Calibri"/>
          <w:noProof/>
          <w:sz w:val="22"/>
          <w:szCs w:val="22"/>
          <w:lang w:val="sr-Latn-BA"/>
        </w:rPr>
      </w:pPr>
    </w:p>
    <w:p w:rsidR="00D70467" w:rsidRPr="00DA6742" w:rsidRDefault="00D70467" w:rsidP="00A9332B">
      <w:pPr>
        <w:pStyle w:val="NoSpacing"/>
        <w:jc w:val="both"/>
        <w:rPr>
          <w:rFonts w:eastAsia="Calibri"/>
          <w:noProof/>
          <w:sz w:val="22"/>
          <w:szCs w:val="22"/>
          <w:lang w:val="sr-Latn-BA"/>
        </w:rPr>
      </w:pPr>
    </w:p>
    <w:p w:rsidR="00D70467" w:rsidRPr="00DA6742" w:rsidRDefault="00D70467" w:rsidP="00A9332B">
      <w:pPr>
        <w:pStyle w:val="NoSpacing"/>
        <w:jc w:val="both"/>
        <w:rPr>
          <w:rFonts w:eastAsia="Calibri"/>
          <w:noProof/>
          <w:sz w:val="22"/>
          <w:szCs w:val="22"/>
          <w:lang w:val="sr-Latn-BA"/>
        </w:rPr>
      </w:pPr>
    </w:p>
    <w:p w:rsidR="00694AAB" w:rsidRPr="00DA6742" w:rsidRDefault="00694AAB" w:rsidP="00A9332B">
      <w:pPr>
        <w:pStyle w:val="NoSpacing"/>
        <w:jc w:val="both"/>
        <w:rPr>
          <w:rFonts w:eastAsia="Calibri"/>
          <w:noProof/>
          <w:sz w:val="22"/>
          <w:szCs w:val="22"/>
          <w:lang w:val="sr-Latn-BA"/>
        </w:rPr>
      </w:pPr>
    </w:p>
    <w:p w:rsidR="00694AAB" w:rsidRPr="00DA6742" w:rsidRDefault="00694AAB" w:rsidP="00A9332B">
      <w:pPr>
        <w:pStyle w:val="NoSpacing"/>
        <w:jc w:val="both"/>
        <w:rPr>
          <w:rFonts w:eastAsia="Calibri"/>
          <w:noProof/>
          <w:sz w:val="22"/>
          <w:szCs w:val="22"/>
          <w:lang w:val="sr-Latn-BA"/>
        </w:rPr>
      </w:pPr>
    </w:p>
    <w:p w:rsidR="00932887" w:rsidRPr="00DA6742" w:rsidRDefault="00932887" w:rsidP="00A9332B">
      <w:pPr>
        <w:pStyle w:val="NoSpacing"/>
        <w:jc w:val="both"/>
        <w:rPr>
          <w:noProof/>
          <w:sz w:val="22"/>
          <w:szCs w:val="22"/>
          <w:lang w:val="sr-Latn-BA"/>
        </w:rPr>
      </w:pPr>
    </w:p>
    <w:p w:rsidR="00932887" w:rsidRDefault="00932887" w:rsidP="00A9332B">
      <w:pPr>
        <w:pStyle w:val="NoSpacing"/>
        <w:jc w:val="both"/>
        <w:rPr>
          <w:noProof/>
          <w:sz w:val="22"/>
          <w:szCs w:val="22"/>
          <w:lang w:val="sr-Latn-BA"/>
        </w:rPr>
      </w:pPr>
    </w:p>
    <w:p w:rsidR="00DA6742" w:rsidRDefault="00DA6742" w:rsidP="00A9332B">
      <w:pPr>
        <w:pStyle w:val="NoSpacing"/>
        <w:jc w:val="both"/>
        <w:rPr>
          <w:noProof/>
          <w:sz w:val="22"/>
          <w:szCs w:val="22"/>
          <w:lang w:val="sr-Latn-BA"/>
        </w:rPr>
      </w:pPr>
    </w:p>
    <w:p w:rsidR="00DA6742" w:rsidRPr="00DA6742" w:rsidRDefault="00DA6742" w:rsidP="00A9332B">
      <w:pPr>
        <w:pStyle w:val="NoSpacing"/>
        <w:jc w:val="both"/>
        <w:rPr>
          <w:noProof/>
          <w:sz w:val="22"/>
          <w:szCs w:val="22"/>
          <w:lang w:val="sr-Latn-BA"/>
        </w:rPr>
      </w:pPr>
    </w:p>
    <w:p w:rsidR="00932887" w:rsidRPr="00DA6742" w:rsidRDefault="00932887" w:rsidP="00A9332B">
      <w:pPr>
        <w:pStyle w:val="NoSpacing"/>
        <w:jc w:val="both"/>
        <w:rPr>
          <w:noProof/>
          <w:sz w:val="22"/>
          <w:szCs w:val="22"/>
          <w:lang w:val="sr-Latn-BA"/>
        </w:rPr>
      </w:pPr>
    </w:p>
    <w:p w:rsidR="00932887" w:rsidRPr="00DA6742" w:rsidRDefault="00932887" w:rsidP="00A9332B">
      <w:pPr>
        <w:pStyle w:val="NoSpacing"/>
        <w:jc w:val="both"/>
        <w:rPr>
          <w:noProof/>
          <w:sz w:val="22"/>
          <w:szCs w:val="22"/>
          <w:lang w:val="sr-Latn-BA"/>
        </w:rPr>
      </w:pPr>
    </w:p>
    <w:p w:rsidR="00A41D33" w:rsidRPr="00DA6742" w:rsidRDefault="00982577" w:rsidP="00567D3F">
      <w:pPr>
        <w:pStyle w:val="NoSpacing"/>
        <w:jc w:val="center"/>
        <w:rPr>
          <w:b/>
          <w:bCs/>
          <w:noProof/>
          <w:sz w:val="22"/>
          <w:szCs w:val="22"/>
          <w:lang w:val="sr-Latn-BA"/>
        </w:rPr>
      </w:pPr>
      <w:r w:rsidRPr="00DA6742">
        <w:rPr>
          <w:b/>
          <w:bCs/>
          <w:noProof/>
          <w:sz w:val="22"/>
          <w:szCs w:val="22"/>
          <w:lang w:val="sr-Latn-BA"/>
        </w:rPr>
        <w:lastRenderedPageBreak/>
        <w:t>О б р а з л о ж е њ</w:t>
      </w:r>
      <w:r w:rsidR="00DC0346" w:rsidRPr="00DA6742">
        <w:rPr>
          <w:b/>
          <w:bCs/>
          <w:noProof/>
          <w:sz w:val="22"/>
          <w:szCs w:val="22"/>
          <w:lang w:val="sr-Latn-BA"/>
        </w:rPr>
        <w:t xml:space="preserve"> </w:t>
      </w:r>
      <w:r w:rsidRPr="00DA6742">
        <w:rPr>
          <w:b/>
          <w:bCs/>
          <w:noProof/>
          <w:sz w:val="22"/>
          <w:szCs w:val="22"/>
          <w:lang w:val="sr-Latn-BA"/>
        </w:rPr>
        <w:t>е</w:t>
      </w:r>
    </w:p>
    <w:p w:rsidR="00A41D33" w:rsidRPr="00DA6742" w:rsidRDefault="00A41D33" w:rsidP="00567D3F">
      <w:pPr>
        <w:pStyle w:val="NoSpacing"/>
        <w:jc w:val="center"/>
        <w:rPr>
          <w:b/>
          <w:bCs/>
          <w:noProof/>
          <w:sz w:val="22"/>
          <w:szCs w:val="22"/>
          <w:lang w:val="sr-Latn-BA"/>
        </w:rPr>
      </w:pPr>
    </w:p>
    <w:p w:rsidR="00982577" w:rsidRPr="00DA6742" w:rsidRDefault="00A41D33" w:rsidP="00567D3F">
      <w:pPr>
        <w:pStyle w:val="NoSpacing"/>
        <w:jc w:val="center"/>
        <w:rPr>
          <w:b/>
          <w:noProof/>
          <w:sz w:val="22"/>
          <w:szCs w:val="22"/>
          <w:lang w:val="sr-Latn-BA"/>
        </w:rPr>
      </w:pPr>
      <w:r w:rsidRPr="00DA6742">
        <w:rPr>
          <w:b/>
          <w:noProof/>
          <w:sz w:val="22"/>
          <w:szCs w:val="22"/>
          <w:lang w:val="sr-Latn-BA"/>
        </w:rPr>
        <w:t xml:space="preserve">уз </w:t>
      </w:r>
      <w:r w:rsidR="00BA5CE0" w:rsidRPr="00DA6742">
        <w:rPr>
          <w:b/>
          <w:noProof/>
          <w:sz w:val="22"/>
          <w:szCs w:val="22"/>
          <w:lang w:val="sr-Latn-BA"/>
        </w:rPr>
        <w:t xml:space="preserve">преднацрт </w:t>
      </w:r>
      <w:r w:rsidRPr="00DA6742">
        <w:rPr>
          <w:b/>
          <w:noProof/>
          <w:sz w:val="22"/>
          <w:szCs w:val="22"/>
          <w:lang w:val="sr-Latn-BA"/>
        </w:rPr>
        <w:t>Упутства о допун</w:t>
      </w:r>
      <w:r w:rsidR="00924883" w:rsidRPr="00DA6742">
        <w:rPr>
          <w:b/>
          <w:noProof/>
          <w:sz w:val="22"/>
          <w:szCs w:val="22"/>
          <w:lang w:val="sr-Cyrl-BA"/>
        </w:rPr>
        <w:t>и</w:t>
      </w:r>
      <w:r w:rsidRPr="00DA6742">
        <w:rPr>
          <w:b/>
          <w:noProof/>
          <w:sz w:val="22"/>
          <w:szCs w:val="22"/>
          <w:lang w:val="sr-Latn-BA"/>
        </w:rPr>
        <w:t xml:space="preserve"> Упутства о</w:t>
      </w:r>
    </w:p>
    <w:p w:rsidR="00A41D33" w:rsidRPr="00DA6742" w:rsidRDefault="00A41D33" w:rsidP="00567D3F">
      <w:pPr>
        <w:pStyle w:val="NoSpacing"/>
        <w:jc w:val="center"/>
        <w:rPr>
          <w:b/>
          <w:noProof/>
          <w:sz w:val="22"/>
          <w:szCs w:val="22"/>
          <w:lang w:val="sr-Latn-BA"/>
        </w:rPr>
      </w:pPr>
      <w:r w:rsidRPr="00DA6742">
        <w:rPr>
          <w:b/>
          <w:noProof/>
          <w:sz w:val="22"/>
          <w:szCs w:val="22"/>
          <w:lang w:val="sr-Latn-BA"/>
        </w:rPr>
        <w:t>поједностављеном</w:t>
      </w:r>
      <w:r w:rsidR="00982577" w:rsidRPr="00DA6742">
        <w:rPr>
          <w:b/>
          <w:noProof/>
          <w:sz w:val="22"/>
          <w:szCs w:val="22"/>
          <w:lang w:val="sr-Latn-BA"/>
        </w:rPr>
        <w:t xml:space="preserve"> </w:t>
      </w:r>
      <w:r w:rsidRPr="00DA6742">
        <w:rPr>
          <w:b/>
          <w:noProof/>
          <w:sz w:val="22"/>
          <w:szCs w:val="22"/>
          <w:lang w:val="sr-Latn-BA"/>
        </w:rPr>
        <w:t>царинском поступку по фактури</w:t>
      </w:r>
    </w:p>
    <w:p w:rsidR="00A41D33" w:rsidRPr="00DA6742" w:rsidRDefault="00A41D33" w:rsidP="00A9332B">
      <w:pPr>
        <w:pStyle w:val="NoSpacing"/>
        <w:jc w:val="both"/>
        <w:rPr>
          <w:noProof/>
          <w:sz w:val="22"/>
          <w:szCs w:val="22"/>
          <w:lang w:val="sr-Latn-BA"/>
        </w:rPr>
      </w:pPr>
    </w:p>
    <w:p w:rsidR="00290ABB" w:rsidRPr="00DA6742" w:rsidRDefault="00290ABB" w:rsidP="00A9332B">
      <w:pPr>
        <w:pStyle w:val="NoSpacing"/>
        <w:jc w:val="both"/>
        <w:rPr>
          <w:rFonts w:eastAsia="Calibri"/>
          <w:noProof/>
          <w:sz w:val="22"/>
          <w:szCs w:val="22"/>
          <w:lang w:val="sr-Latn-BA"/>
        </w:rPr>
      </w:pPr>
    </w:p>
    <w:p w:rsidR="00BA5CE0" w:rsidRPr="00DA6742" w:rsidRDefault="00BA5CE0" w:rsidP="00567D3F">
      <w:pPr>
        <w:pStyle w:val="NoSpacing"/>
        <w:jc w:val="both"/>
        <w:rPr>
          <w:rFonts w:eastAsia="Calibri"/>
          <w:b/>
          <w:noProof/>
          <w:sz w:val="22"/>
          <w:szCs w:val="22"/>
          <w:lang w:val="sr-Latn-BA"/>
        </w:rPr>
      </w:pPr>
      <w:r w:rsidRPr="00DA6742">
        <w:rPr>
          <w:rFonts w:eastAsia="Calibri"/>
          <w:b/>
          <w:noProof/>
          <w:sz w:val="22"/>
          <w:szCs w:val="22"/>
          <w:lang w:val="sr-Latn-BA"/>
        </w:rPr>
        <w:t>Правни основ и разлози за доношење</w:t>
      </w:r>
    </w:p>
    <w:p w:rsidR="00BA5CE0" w:rsidRPr="00DA6742" w:rsidRDefault="00BA5CE0" w:rsidP="00567D3F">
      <w:pPr>
        <w:pStyle w:val="NoSpacing"/>
        <w:jc w:val="both"/>
        <w:rPr>
          <w:rFonts w:eastAsia="Calibri"/>
          <w:noProof/>
          <w:sz w:val="22"/>
          <w:szCs w:val="22"/>
          <w:lang w:val="sr-Latn-BA"/>
        </w:rPr>
      </w:pPr>
    </w:p>
    <w:p w:rsidR="00BA5CE0" w:rsidRPr="00DA6742" w:rsidRDefault="00BA5CE0" w:rsidP="00567D3F">
      <w:pPr>
        <w:pStyle w:val="NoSpacing"/>
        <w:jc w:val="both"/>
        <w:rPr>
          <w:rFonts w:eastAsia="Calibri"/>
          <w:noProof/>
          <w:sz w:val="22"/>
          <w:szCs w:val="22"/>
          <w:lang w:val="sr-Latn-BA"/>
        </w:rPr>
      </w:pPr>
      <w:r w:rsidRPr="00DA6742">
        <w:rPr>
          <w:rFonts w:eastAsia="Calibri"/>
          <w:noProof/>
          <w:sz w:val="22"/>
          <w:szCs w:val="22"/>
          <w:lang w:val="sr-Latn-BA"/>
        </w:rPr>
        <w:t>Правни основ и надлежност Управе за индиректно опорезивање за доношење Упутства о допунама Упутства о поједностављеном царинском поступку по фактури произилази из члана 15. Закона о Управи за индиректно опорезивање ("Службени гласник БиХ", број 89/05) и члана 61. став 2. Закона о управи ("Службени гласник БиХ", бр. 32/02, 102/09 и 72/17).</w:t>
      </w:r>
    </w:p>
    <w:p w:rsidR="00BA5CE0" w:rsidRPr="00DA6742" w:rsidRDefault="00BA5CE0" w:rsidP="00567D3F">
      <w:pPr>
        <w:pStyle w:val="NoSpacing"/>
        <w:jc w:val="both"/>
        <w:rPr>
          <w:rFonts w:eastAsia="Calibri"/>
          <w:noProof/>
          <w:sz w:val="22"/>
          <w:szCs w:val="22"/>
          <w:lang w:val="sr-Latn-BA"/>
        </w:rPr>
      </w:pPr>
    </w:p>
    <w:p w:rsidR="00BA5CE0" w:rsidRPr="00DA6742" w:rsidRDefault="00BA5CE0" w:rsidP="00567D3F">
      <w:pPr>
        <w:pStyle w:val="NoSpacing"/>
        <w:jc w:val="both"/>
        <w:rPr>
          <w:bCs/>
          <w:noProof/>
          <w:sz w:val="22"/>
          <w:szCs w:val="22"/>
          <w:lang w:val="sr-Latn-BA"/>
        </w:rPr>
      </w:pPr>
      <w:r w:rsidRPr="00DA6742">
        <w:rPr>
          <w:noProof/>
          <w:sz w:val="22"/>
          <w:szCs w:val="22"/>
          <w:lang w:val="sr-Latn-BA"/>
        </w:rPr>
        <w:t xml:space="preserve">Поједностављени поступак по фактури регулисан је чланом 88. Закона о царинској политици у Босни и Херцеговини ("Службени гласник БиХ", број 58/15) </w:t>
      </w:r>
      <w:r w:rsidR="00ED03DB" w:rsidRPr="00DA6742">
        <w:rPr>
          <w:noProof/>
          <w:sz w:val="22"/>
          <w:szCs w:val="22"/>
          <w:lang w:val="sr-Cyrl-BA"/>
        </w:rPr>
        <w:t xml:space="preserve">и </w:t>
      </w:r>
      <w:r w:rsidRPr="00DA6742">
        <w:rPr>
          <w:noProof/>
          <w:sz w:val="22"/>
          <w:szCs w:val="22"/>
          <w:lang w:val="sr-Latn-BA"/>
        </w:rPr>
        <w:t>одредбама члана 184., чл. 186. до 191., чл. 198. до 200</w:t>
      </w:r>
      <w:r w:rsidR="001C494D" w:rsidRPr="00DA6742">
        <w:rPr>
          <w:noProof/>
          <w:sz w:val="22"/>
          <w:szCs w:val="22"/>
          <w:lang w:val="sr-Latn-BA"/>
        </w:rPr>
        <w:t>.</w:t>
      </w:r>
      <w:r w:rsidRPr="00DA6742">
        <w:rPr>
          <w:noProof/>
          <w:sz w:val="22"/>
          <w:szCs w:val="22"/>
          <w:lang w:val="sr-Latn-BA"/>
        </w:rPr>
        <w:t xml:space="preserve">, чл. 216. и 220. Одлуке о спровођењу Закона о царинској политици у Босни и Херцеговини ("Службени гласник БиХ", бр. 13/19, 54/19, 21/20, 47/21, 49/21, 4/22, 23/22 и 6/23), </w:t>
      </w:r>
      <w:r w:rsidR="00ED03DB" w:rsidRPr="00DA6742">
        <w:rPr>
          <w:noProof/>
          <w:sz w:val="22"/>
          <w:szCs w:val="22"/>
          <w:lang w:val="sr-Latn-BA"/>
        </w:rPr>
        <w:t>којим одредбама је прописано да,</w:t>
      </w:r>
      <w:r w:rsidRPr="00DA6742">
        <w:rPr>
          <w:noProof/>
          <w:sz w:val="22"/>
          <w:szCs w:val="22"/>
          <w:lang w:val="sr-Latn-BA"/>
        </w:rPr>
        <w:t xml:space="preserve"> ради поједностављења царинских форм</w:t>
      </w:r>
      <w:r w:rsidR="00DA6742" w:rsidRPr="00DA6742">
        <w:rPr>
          <w:noProof/>
          <w:sz w:val="22"/>
          <w:szCs w:val="22"/>
          <w:lang w:val="sr-Latn-BA"/>
        </w:rPr>
        <w:t>а</w:t>
      </w:r>
      <w:r w:rsidRPr="00DA6742">
        <w:rPr>
          <w:noProof/>
          <w:sz w:val="22"/>
          <w:szCs w:val="22"/>
          <w:lang w:val="sr-Latn-BA"/>
        </w:rPr>
        <w:t xml:space="preserve">лности и </w:t>
      </w:r>
      <w:r w:rsidR="00B305C4" w:rsidRPr="00DA6742">
        <w:rPr>
          <w:noProof/>
          <w:sz w:val="22"/>
          <w:szCs w:val="22"/>
          <w:lang w:val="sr-Latn-BA"/>
        </w:rPr>
        <w:t xml:space="preserve">поступака, </w:t>
      </w:r>
      <w:r w:rsidRPr="00DA6742">
        <w:rPr>
          <w:noProof/>
          <w:sz w:val="22"/>
          <w:szCs w:val="22"/>
          <w:lang w:val="sr-Latn-BA"/>
        </w:rPr>
        <w:t xml:space="preserve">а уз обезбјеђење правилног </w:t>
      </w:r>
      <w:r w:rsidR="00B305C4" w:rsidRPr="00DA6742">
        <w:rPr>
          <w:noProof/>
          <w:sz w:val="22"/>
          <w:szCs w:val="22"/>
          <w:lang w:val="sr-Latn-BA"/>
        </w:rPr>
        <w:t>спро</w:t>
      </w:r>
      <w:r w:rsidRPr="00DA6742">
        <w:rPr>
          <w:noProof/>
          <w:sz w:val="22"/>
          <w:szCs w:val="22"/>
          <w:lang w:val="sr-Latn-BA"/>
        </w:rPr>
        <w:t>вођења поступка, царински орган</w:t>
      </w:r>
      <w:r w:rsidR="00B305C4" w:rsidRPr="00DA6742">
        <w:rPr>
          <w:noProof/>
          <w:sz w:val="22"/>
          <w:szCs w:val="22"/>
          <w:lang w:val="sr-Latn-BA"/>
        </w:rPr>
        <w:t xml:space="preserve"> може, у </w:t>
      </w:r>
      <w:r w:rsidR="004F6EDC" w:rsidRPr="00DA6742">
        <w:rPr>
          <w:noProof/>
          <w:sz w:val="22"/>
          <w:szCs w:val="22"/>
          <w:lang w:val="sr-Latn-BA"/>
        </w:rPr>
        <w:t xml:space="preserve">случајевима и на начин прописан наведеном одлуком, одобрити </w:t>
      </w:r>
      <w:r w:rsidR="00ED03DB" w:rsidRPr="00DA6742">
        <w:rPr>
          <w:noProof/>
          <w:sz w:val="22"/>
          <w:szCs w:val="22"/>
          <w:lang w:val="sr-Latn-BA"/>
        </w:rPr>
        <w:t xml:space="preserve">да </w:t>
      </w:r>
      <w:r w:rsidRPr="00DA6742">
        <w:rPr>
          <w:noProof/>
          <w:sz w:val="22"/>
          <w:szCs w:val="22"/>
          <w:lang w:val="sr-Latn-BA"/>
        </w:rPr>
        <w:t xml:space="preserve">неки </w:t>
      </w:r>
      <w:r w:rsidR="004F6EDC" w:rsidRPr="00DA6742">
        <w:rPr>
          <w:noProof/>
          <w:sz w:val="22"/>
          <w:szCs w:val="22"/>
          <w:lang w:val="sr-Latn-BA"/>
        </w:rPr>
        <w:t xml:space="preserve">од </w:t>
      </w:r>
      <w:r w:rsidRPr="00DA6742">
        <w:rPr>
          <w:noProof/>
          <w:sz w:val="22"/>
          <w:szCs w:val="22"/>
          <w:lang w:val="sr-Latn-BA"/>
        </w:rPr>
        <w:t>тргов</w:t>
      </w:r>
      <w:r w:rsidR="004F6EDC" w:rsidRPr="00DA6742">
        <w:rPr>
          <w:noProof/>
          <w:sz w:val="22"/>
          <w:szCs w:val="22"/>
          <w:lang w:val="sr-Latn-BA"/>
        </w:rPr>
        <w:t xml:space="preserve">инских или службених </w:t>
      </w:r>
      <w:r w:rsidRPr="00DA6742">
        <w:rPr>
          <w:noProof/>
          <w:sz w:val="22"/>
          <w:szCs w:val="22"/>
          <w:lang w:val="sr-Latn-BA"/>
        </w:rPr>
        <w:t>докумен</w:t>
      </w:r>
      <w:r w:rsidR="004F6EDC" w:rsidRPr="00DA6742">
        <w:rPr>
          <w:noProof/>
          <w:sz w:val="22"/>
          <w:szCs w:val="22"/>
          <w:lang w:val="sr-Latn-BA"/>
        </w:rPr>
        <w:t>а</w:t>
      </w:r>
      <w:r w:rsidRPr="00DA6742">
        <w:rPr>
          <w:noProof/>
          <w:sz w:val="22"/>
          <w:szCs w:val="22"/>
          <w:lang w:val="sr-Latn-BA"/>
        </w:rPr>
        <w:t>т</w:t>
      </w:r>
      <w:r w:rsidR="004F6EDC" w:rsidRPr="00DA6742">
        <w:rPr>
          <w:noProof/>
          <w:sz w:val="22"/>
          <w:szCs w:val="22"/>
          <w:lang w:val="sr-Latn-BA"/>
        </w:rPr>
        <w:t xml:space="preserve">а приложених уз захтјев за стављање </w:t>
      </w:r>
      <w:r w:rsidRPr="00DA6742">
        <w:rPr>
          <w:noProof/>
          <w:sz w:val="22"/>
          <w:szCs w:val="22"/>
          <w:lang w:val="sr-Latn-BA"/>
        </w:rPr>
        <w:t>роб</w:t>
      </w:r>
      <w:r w:rsidR="004F6EDC" w:rsidRPr="00DA6742">
        <w:rPr>
          <w:noProof/>
          <w:sz w:val="22"/>
          <w:szCs w:val="22"/>
          <w:lang w:val="sr-Latn-BA"/>
        </w:rPr>
        <w:t xml:space="preserve">е у царински поступак замијени царинску декларацију у писаној форми. </w:t>
      </w:r>
      <w:r w:rsidRPr="00DA6742">
        <w:rPr>
          <w:noProof/>
          <w:sz w:val="22"/>
          <w:szCs w:val="22"/>
          <w:lang w:val="sr-Latn-BA"/>
        </w:rPr>
        <w:t xml:space="preserve"> </w:t>
      </w:r>
    </w:p>
    <w:p w:rsidR="00111D84" w:rsidRPr="00DA6742" w:rsidRDefault="00111D84" w:rsidP="00567D3F">
      <w:pPr>
        <w:pStyle w:val="NoSpacing"/>
        <w:jc w:val="both"/>
        <w:rPr>
          <w:noProof/>
          <w:sz w:val="22"/>
          <w:szCs w:val="22"/>
          <w:lang w:val="sr-Latn-BA"/>
        </w:rPr>
      </w:pPr>
    </w:p>
    <w:p w:rsidR="00F74AC8" w:rsidRPr="00DA6742" w:rsidRDefault="00F74AC8" w:rsidP="00567D3F">
      <w:pPr>
        <w:pStyle w:val="NoSpacing"/>
        <w:jc w:val="both"/>
        <w:rPr>
          <w:noProof/>
          <w:sz w:val="22"/>
          <w:szCs w:val="22"/>
          <w:lang w:val="sr-Latn-BA"/>
        </w:rPr>
      </w:pPr>
      <w:r w:rsidRPr="00DA6742">
        <w:rPr>
          <w:noProof/>
          <w:sz w:val="22"/>
          <w:szCs w:val="22"/>
          <w:lang w:val="sr-Latn-BA"/>
        </w:rPr>
        <w:t>Управа за индиректно опорезивање донијела је Упутство о поједностављеном царинском поступку по фактури (''Службени гласник БиХ'', бр</w:t>
      </w:r>
      <w:r w:rsidR="00924883" w:rsidRPr="00DA6742">
        <w:rPr>
          <w:noProof/>
          <w:sz w:val="22"/>
          <w:szCs w:val="22"/>
          <w:lang w:val="sr-Cyrl-BA"/>
        </w:rPr>
        <w:t>.</w:t>
      </w:r>
      <w:r w:rsidRPr="00DA6742">
        <w:rPr>
          <w:noProof/>
          <w:sz w:val="22"/>
          <w:szCs w:val="22"/>
          <w:lang w:val="sr-Latn-BA"/>
        </w:rPr>
        <w:t xml:space="preserve"> 10/23</w:t>
      </w:r>
      <w:r w:rsidR="00924883" w:rsidRPr="00DA6742">
        <w:rPr>
          <w:noProof/>
          <w:sz w:val="22"/>
          <w:szCs w:val="22"/>
          <w:lang w:val="sr-Cyrl-BA"/>
        </w:rPr>
        <w:t xml:space="preserve"> и 80/24</w:t>
      </w:r>
      <w:r w:rsidRPr="00DA6742">
        <w:rPr>
          <w:noProof/>
          <w:sz w:val="22"/>
          <w:szCs w:val="22"/>
          <w:lang w:val="sr-Latn-BA"/>
        </w:rPr>
        <w:t xml:space="preserve">), у којем су у његовом Прилогу 1., уз одређену сарадњу са пословном заједницом (привредне коморе и привредни субјекти), наведене робе које се могу извозити и увозити по поједностављеном </w:t>
      </w:r>
      <w:r w:rsidR="00011960" w:rsidRPr="00DA6742">
        <w:rPr>
          <w:noProof/>
          <w:sz w:val="22"/>
          <w:szCs w:val="22"/>
          <w:lang w:val="sr-Cyrl-BA"/>
        </w:rPr>
        <w:t xml:space="preserve">царинском </w:t>
      </w:r>
      <w:r w:rsidRPr="00DA6742">
        <w:rPr>
          <w:noProof/>
          <w:sz w:val="22"/>
          <w:szCs w:val="22"/>
          <w:lang w:val="sr-Latn-BA"/>
        </w:rPr>
        <w:t xml:space="preserve">поступку по фактури.  </w:t>
      </w:r>
    </w:p>
    <w:p w:rsidR="00F74AC8" w:rsidRPr="00DA6742" w:rsidRDefault="00F74AC8" w:rsidP="00567D3F">
      <w:pPr>
        <w:pStyle w:val="NoSpacing"/>
        <w:jc w:val="both"/>
        <w:rPr>
          <w:noProof/>
          <w:sz w:val="22"/>
          <w:szCs w:val="22"/>
          <w:lang w:val="sr-Latn-BA"/>
        </w:rPr>
      </w:pPr>
    </w:p>
    <w:p w:rsidR="006756A8" w:rsidRPr="00DA6742" w:rsidRDefault="00A41D33" w:rsidP="005349CC">
      <w:pPr>
        <w:jc w:val="both"/>
        <w:rPr>
          <w:noProof/>
          <w:sz w:val="22"/>
          <w:szCs w:val="22"/>
          <w:lang w:val="sr-Latn-BA"/>
        </w:rPr>
      </w:pPr>
      <w:r w:rsidRPr="00DA6742">
        <w:rPr>
          <w:noProof/>
          <w:sz w:val="22"/>
          <w:szCs w:val="22"/>
          <w:lang w:val="sr-Latn-BA"/>
        </w:rPr>
        <w:t>Након ступања на снагу</w:t>
      </w:r>
      <w:r w:rsidR="00931293" w:rsidRPr="00DA6742">
        <w:rPr>
          <w:noProof/>
          <w:sz w:val="22"/>
          <w:szCs w:val="22"/>
          <w:lang w:val="sr-Latn-BA"/>
        </w:rPr>
        <w:t xml:space="preserve"> </w:t>
      </w:r>
      <w:r w:rsidR="000075F3" w:rsidRPr="00DA6742">
        <w:rPr>
          <w:noProof/>
          <w:sz w:val="22"/>
          <w:szCs w:val="22"/>
          <w:lang w:val="sr-Latn-BA"/>
        </w:rPr>
        <w:t>Упутства</w:t>
      </w:r>
      <w:r w:rsidR="00DC0346" w:rsidRPr="00DA6742">
        <w:rPr>
          <w:noProof/>
          <w:sz w:val="22"/>
          <w:szCs w:val="22"/>
          <w:lang w:val="sr-Latn-BA"/>
        </w:rPr>
        <w:t xml:space="preserve"> о поједностављеном царинском поступку по фактури</w:t>
      </w:r>
      <w:r w:rsidR="00290ABB" w:rsidRPr="00DA6742">
        <w:rPr>
          <w:noProof/>
          <w:sz w:val="22"/>
          <w:szCs w:val="22"/>
          <w:lang w:val="sr-Latn-BA"/>
        </w:rPr>
        <w:t>,</w:t>
      </w:r>
      <w:r w:rsidR="00F265FF" w:rsidRPr="00DA6742">
        <w:rPr>
          <w:noProof/>
          <w:sz w:val="22"/>
          <w:szCs w:val="22"/>
          <w:lang w:val="sr-Latn-BA"/>
        </w:rPr>
        <w:t xml:space="preserve"> </w:t>
      </w:r>
      <w:r w:rsidRPr="00DA6742">
        <w:rPr>
          <w:noProof/>
          <w:sz w:val="22"/>
          <w:szCs w:val="22"/>
          <w:lang w:val="sr-Latn-BA"/>
        </w:rPr>
        <w:t>привредни субје</w:t>
      </w:r>
      <w:r w:rsidR="003A7597" w:rsidRPr="00DA6742">
        <w:rPr>
          <w:noProof/>
          <w:sz w:val="22"/>
          <w:szCs w:val="22"/>
          <w:lang w:val="sr-Latn-BA"/>
        </w:rPr>
        <w:t>кти</w:t>
      </w:r>
      <w:r w:rsidR="00931293" w:rsidRPr="00DA6742">
        <w:rPr>
          <w:noProof/>
          <w:sz w:val="22"/>
          <w:szCs w:val="22"/>
          <w:lang w:val="sr-Latn-BA"/>
        </w:rPr>
        <w:t>за</w:t>
      </w:r>
      <w:r w:rsidR="00F265FF" w:rsidRPr="00DA6742">
        <w:rPr>
          <w:noProof/>
          <w:sz w:val="22"/>
          <w:szCs w:val="22"/>
          <w:lang w:val="sr-Latn-BA"/>
        </w:rPr>
        <w:t xml:space="preserve">тражили су </w:t>
      </w:r>
      <w:r w:rsidR="006756A8" w:rsidRPr="00DA6742">
        <w:rPr>
          <w:noProof/>
          <w:sz w:val="22"/>
          <w:szCs w:val="22"/>
          <w:lang w:val="sr-Latn-BA"/>
        </w:rPr>
        <w:t>допун</w:t>
      </w:r>
      <w:r w:rsidR="00ED03DB" w:rsidRPr="00DA6742">
        <w:rPr>
          <w:noProof/>
          <w:sz w:val="22"/>
          <w:szCs w:val="22"/>
          <w:lang w:val="sr-Cyrl-BA"/>
        </w:rPr>
        <w:t>у</w:t>
      </w:r>
      <w:r w:rsidRPr="00DA6742">
        <w:rPr>
          <w:noProof/>
          <w:sz w:val="22"/>
          <w:szCs w:val="22"/>
          <w:lang w:val="sr-Latn-BA"/>
        </w:rPr>
        <w:t xml:space="preserve"> списк</w:t>
      </w:r>
      <w:r w:rsidR="00DA6742" w:rsidRPr="00DA6742">
        <w:rPr>
          <w:noProof/>
          <w:sz w:val="22"/>
          <w:szCs w:val="22"/>
          <w:lang w:val="sr-Latn-BA"/>
        </w:rPr>
        <w:t>а</w:t>
      </w:r>
      <w:r w:rsidRPr="00DA6742">
        <w:rPr>
          <w:noProof/>
          <w:sz w:val="22"/>
          <w:szCs w:val="22"/>
          <w:lang w:val="sr-Latn-BA"/>
        </w:rPr>
        <w:t xml:space="preserve"> роб</w:t>
      </w:r>
      <w:r w:rsidR="00F265FF" w:rsidRPr="00DA6742">
        <w:rPr>
          <w:noProof/>
          <w:sz w:val="22"/>
          <w:szCs w:val="22"/>
          <w:lang w:val="sr-Latn-BA"/>
        </w:rPr>
        <w:t>е</w:t>
      </w:r>
      <w:r w:rsidRPr="00DA6742">
        <w:rPr>
          <w:noProof/>
          <w:sz w:val="22"/>
          <w:szCs w:val="22"/>
          <w:lang w:val="sr-Latn-BA"/>
        </w:rPr>
        <w:t xml:space="preserve"> </w:t>
      </w:r>
      <w:r w:rsidR="009823AF" w:rsidRPr="00DA6742">
        <w:rPr>
          <w:noProof/>
          <w:sz w:val="22"/>
          <w:szCs w:val="22"/>
          <w:lang w:val="sr-Latn-BA"/>
        </w:rPr>
        <w:t xml:space="preserve">за </w:t>
      </w:r>
      <w:r w:rsidR="00924883" w:rsidRPr="00DA6742">
        <w:rPr>
          <w:sz w:val="22"/>
          <w:szCs w:val="22"/>
          <w:lang w:val="sr-Cyrl-BA"/>
        </w:rPr>
        <w:t>7309 00 90</w:t>
      </w:r>
      <w:r w:rsidR="00924883" w:rsidRPr="00DA6742">
        <w:rPr>
          <w:noProof/>
          <w:sz w:val="22"/>
          <w:szCs w:val="22"/>
          <w:lang w:val="sr-Latn-BA"/>
        </w:rPr>
        <w:t xml:space="preserve"> </w:t>
      </w:r>
      <w:r w:rsidR="00C35B6C">
        <w:rPr>
          <w:noProof/>
          <w:sz w:val="22"/>
          <w:szCs w:val="22"/>
          <w:lang w:val="sr-Cyrl-BA"/>
        </w:rPr>
        <w:t xml:space="preserve">00 </w:t>
      </w:r>
      <w:r w:rsidR="00924883" w:rsidRPr="00DA6742">
        <w:rPr>
          <w:noProof/>
          <w:sz w:val="22"/>
          <w:szCs w:val="22"/>
          <w:lang w:val="sr-Latn-BA"/>
        </w:rPr>
        <w:t>(</w:t>
      </w:r>
      <w:r w:rsidR="005349CC" w:rsidRPr="00DA6742">
        <w:rPr>
          <w:noProof/>
          <w:sz w:val="22"/>
          <w:szCs w:val="22"/>
          <w:lang w:val="sr-Latn-BA"/>
        </w:rPr>
        <w:t>Резервоари од гвожђа или челика за било који материјал (осим компримованих или течних гасова) запремине веће од 300 литара, са облогом или без облоге или топлотне изолације, који нису опремљени механичким ни термичким уређајима: - за чврсте материјале</w:t>
      </w:r>
      <w:r w:rsidR="005349CC" w:rsidRPr="00DA6742">
        <w:rPr>
          <w:noProof/>
          <w:sz w:val="22"/>
          <w:szCs w:val="22"/>
          <w:lang w:val="sr-Cyrl-BA"/>
        </w:rPr>
        <w:t>),</w:t>
      </w:r>
      <w:r w:rsidR="00930E8D" w:rsidRPr="00DA6742">
        <w:rPr>
          <w:noProof/>
          <w:sz w:val="22"/>
          <w:szCs w:val="22"/>
          <w:lang w:val="sr-Latn-BA"/>
        </w:rPr>
        <w:t xml:space="preserve"> </w:t>
      </w:r>
      <w:r w:rsidR="00E96242" w:rsidRPr="00DA6742">
        <w:rPr>
          <w:noProof/>
          <w:sz w:val="22"/>
          <w:szCs w:val="22"/>
          <w:lang w:val="sr-Latn-BA"/>
        </w:rPr>
        <w:t>пошто се ради о лакопрепознатљивој роби</w:t>
      </w:r>
      <w:r w:rsidR="00751755" w:rsidRPr="00DA6742">
        <w:rPr>
          <w:noProof/>
          <w:sz w:val="22"/>
          <w:szCs w:val="22"/>
          <w:lang w:val="sr-Latn-BA"/>
        </w:rPr>
        <w:t xml:space="preserve"> </w:t>
      </w:r>
      <w:r w:rsidR="005349CC" w:rsidRPr="00DA6742">
        <w:rPr>
          <w:noProof/>
          <w:sz w:val="22"/>
          <w:szCs w:val="22"/>
          <w:lang w:val="sr-Cyrl-BA"/>
        </w:rPr>
        <w:t>коју је лако ид</w:t>
      </w:r>
      <w:r w:rsidR="00011960" w:rsidRPr="00DA6742">
        <w:rPr>
          <w:noProof/>
          <w:sz w:val="22"/>
          <w:szCs w:val="22"/>
          <w:lang w:val="sr-Cyrl-BA"/>
        </w:rPr>
        <w:t>ентификовати на граничном прелаз</w:t>
      </w:r>
      <w:r w:rsidR="005349CC" w:rsidRPr="00DA6742">
        <w:rPr>
          <w:noProof/>
          <w:sz w:val="22"/>
          <w:szCs w:val="22"/>
          <w:lang w:val="sr-Cyrl-BA"/>
        </w:rPr>
        <w:t>у како у погледу врсте</w:t>
      </w:r>
      <w:r w:rsidR="00011960" w:rsidRPr="00DA6742">
        <w:rPr>
          <w:noProof/>
          <w:sz w:val="22"/>
          <w:szCs w:val="22"/>
          <w:lang w:val="sr-Cyrl-BA"/>
        </w:rPr>
        <w:t xml:space="preserve"> робе тако и </w:t>
      </w:r>
      <w:r w:rsidR="005349CC" w:rsidRPr="00DA6742">
        <w:rPr>
          <w:noProof/>
          <w:sz w:val="22"/>
          <w:szCs w:val="22"/>
          <w:lang w:val="sr-Cyrl-BA"/>
        </w:rPr>
        <w:t xml:space="preserve">у погледу сврставања по </w:t>
      </w:r>
      <w:r w:rsidR="00011960" w:rsidRPr="00DA6742">
        <w:rPr>
          <w:noProof/>
          <w:sz w:val="22"/>
          <w:szCs w:val="22"/>
          <w:lang w:val="sr-Cyrl-BA"/>
        </w:rPr>
        <w:t>наведеној тарифи.</w:t>
      </w:r>
      <w:r w:rsidR="005349CC" w:rsidRPr="00DA6742">
        <w:rPr>
          <w:noProof/>
          <w:sz w:val="22"/>
          <w:szCs w:val="22"/>
          <w:lang w:val="sr-Cyrl-BA"/>
        </w:rPr>
        <w:t xml:space="preserve"> </w:t>
      </w:r>
    </w:p>
    <w:p w:rsidR="006756A8" w:rsidRPr="00DA6742" w:rsidRDefault="006756A8" w:rsidP="00567D3F">
      <w:pPr>
        <w:pStyle w:val="NoSpacing"/>
        <w:jc w:val="both"/>
        <w:rPr>
          <w:noProof/>
          <w:sz w:val="22"/>
          <w:szCs w:val="22"/>
          <w:lang w:val="sr-Latn-BA"/>
        </w:rPr>
      </w:pPr>
    </w:p>
    <w:p w:rsidR="005349CC" w:rsidRPr="00DA6742" w:rsidRDefault="00C751CC" w:rsidP="00567D3F">
      <w:pPr>
        <w:pStyle w:val="NoSpacing"/>
        <w:jc w:val="both"/>
        <w:rPr>
          <w:noProof/>
          <w:sz w:val="22"/>
          <w:szCs w:val="22"/>
          <w:lang w:val="sr-Cyrl-BA"/>
        </w:rPr>
      </w:pPr>
      <w:r w:rsidRPr="00DA6742">
        <w:rPr>
          <w:noProof/>
          <w:sz w:val="22"/>
          <w:szCs w:val="22"/>
          <w:lang w:val="sr-Latn-BA"/>
        </w:rPr>
        <w:t>У вези наведеног</w:t>
      </w:r>
      <w:r w:rsidR="006756A8" w:rsidRPr="00DA6742">
        <w:rPr>
          <w:noProof/>
          <w:sz w:val="22"/>
          <w:szCs w:val="22"/>
          <w:lang w:val="sr-Latn-BA"/>
        </w:rPr>
        <w:t xml:space="preserve"> приједлога</w:t>
      </w:r>
      <w:r w:rsidR="00B61002" w:rsidRPr="00DA6742">
        <w:rPr>
          <w:noProof/>
          <w:sz w:val="22"/>
          <w:szCs w:val="22"/>
          <w:lang w:val="sr-Cyrl-BA"/>
        </w:rPr>
        <w:t>,</w:t>
      </w:r>
      <w:r w:rsidR="006756A8" w:rsidRPr="00DA6742">
        <w:rPr>
          <w:noProof/>
          <w:sz w:val="22"/>
          <w:szCs w:val="22"/>
          <w:lang w:val="sr-Latn-BA"/>
        </w:rPr>
        <w:t xml:space="preserve"> сагледано је </w:t>
      </w:r>
      <w:r w:rsidRPr="00DA6742">
        <w:rPr>
          <w:noProof/>
          <w:sz w:val="22"/>
          <w:szCs w:val="22"/>
          <w:lang w:val="sr-Latn-BA"/>
        </w:rPr>
        <w:t>да је за пред</w:t>
      </w:r>
      <w:r w:rsidR="009823AF" w:rsidRPr="00DA6742">
        <w:rPr>
          <w:noProof/>
          <w:sz w:val="22"/>
          <w:szCs w:val="22"/>
          <w:lang w:val="sr-Latn-BA"/>
        </w:rPr>
        <w:t>м</w:t>
      </w:r>
      <w:r w:rsidRPr="00DA6742">
        <w:rPr>
          <w:noProof/>
          <w:sz w:val="22"/>
          <w:szCs w:val="22"/>
          <w:lang w:val="sr-Latn-BA"/>
        </w:rPr>
        <w:t xml:space="preserve">етну робу, </w:t>
      </w:r>
      <w:r w:rsidR="006756A8" w:rsidRPr="00DA6742">
        <w:rPr>
          <w:noProof/>
          <w:sz w:val="22"/>
          <w:szCs w:val="22"/>
          <w:lang w:val="sr-Latn-BA"/>
        </w:rPr>
        <w:t>са аспекта њ</w:t>
      </w:r>
      <w:r w:rsidR="00D913F7" w:rsidRPr="00DA6742">
        <w:rPr>
          <w:noProof/>
          <w:sz w:val="22"/>
          <w:szCs w:val="22"/>
          <w:lang w:val="sr-Latn-BA"/>
        </w:rPr>
        <w:t>ене</w:t>
      </w:r>
      <w:r w:rsidR="006756A8" w:rsidRPr="00DA6742">
        <w:rPr>
          <w:noProof/>
          <w:sz w:val="22"/>
          <w:szCs w:val="22"/>
          <w:lang w:val="sr-Latn-BA"/>
        </w:rPr>
        <w:t xml:space="preserve"> трговачке врсте, тарифног сврставања и других царинских питања, могуће спровод</w:t>
      </w:r>
      <w:r w:rsidR="00746DF1" w:rsidRPr="00DA6742">
        <w:rPr>
          <w:noProof/>
          <w:sz w:val="22"/>
          <w:szCs w:val="22"/>
          <w:lang w:val="sr-Latn-BA"/>
        </w:rPr>
        <w:t>и</w:t>
      </w:r>
      <w:r w:rsidR="006756A8" w:rsidRPr="00DA6742">
        <w:rPr>
          <w:noProof/>
          <w:sz w:val="22"/>
          <w:szCs w:val="22"/>
          <w:lang w:val="sr-Latn-BA"/>
        </w:rPr>
        <w:t xml:space="preserve">ти </w:t>
      </w:r>
      <w:r w:rsidR="005349CC" w:rsidRPr="00DA6742">
        <w:rPr>
          <w:noProof/>
          <w:sz w:val="22"/>
          <w:szCs w:val="22"/>
          <w:lang w:val="sr-Latn-BA"/>
        </w:rPr>
        <w:t>поједностављен</w:t>
      </w:r>
      <w:r w:rsidR="005349CC" w:rsidRPr="00DA6742">
        <w:rPr>
          <w:noProof/>
          <w:sz w:val="22"/>
          <w:szCs w:val="22"/>
          <w:lang w:val="sr-Cyrl-BA"/>
        </w:rPr>
        <w:t>и</w:t>
      </w:r>
      <w:r w:rsidR="005349CC" w:rsidRPr="00DA6742">
        <w:rPr>
          <w:noProof/>
          <w:sz w:val="22"/>
          <w:szCs w:val="22"/>
          <w:lang w:val="sr-Latn-BA"/>
        </w:rPr>
        <w:t xml:space="preserve"> царинск</w:t>
      </w:r>
      <w:r w:rsidR="005349CC" w:rsidRPr="00DA6742">
        <w:rPr>
          <w:noProof/>
          <w:sz w:val="22"/>
          <w:szCs w:val="22"/>
          <w:lang w:val="sr-Cyrl-BA"/>
        </w:rPr>
        <w:t>и</w:t>
      </w:r>
      <w:r w:rsidR="005349CC" w:rsidRPr="00DA6742">
        <w:rPr>
          <w:noProof/>
          <w:sz w:val="22"/>
          <w:szCs w:val="22"/>
          <w:lang w:val="sr-Latn-BA"/>
        </w:rPr>
        <w:t xml:space="preserve"> поступ</w:t>
      </w:r>
      <w:r w:rsidR="005349CC" w:rsidRPr="00DA6742">
        <w:rPr>
          <w:noProof/>
          <w:sz w:val="22"/>
          <w:szCs w:val="22"/>
          <w:lang w:val="sr-Cyrl-BA"/>
        </w:rPr>
        <w:t>а</w:t>
      </w:r>
      <w:r w:rsidR="005349CC" w:rsidRPr="00DA6742">
        <w:rPr>
          <w:noProof/>
          <w:sz w:val="22"/>
          <w:szCs w:val="22"/>
          <w:lang w:val="sr-Latn-BA"/>
        </w:rPr>
        <w:t>к</w:t>
      </w:r>
      <w:r w:rsidR="005349CC" w:rsidRPr="00DA6742">
        <w:rPr>
          <w:noProof/>
          <w:sz w:val="22"/>
          <w:szCs w:val="22"/>
          <w:lang w:val="sr-Cyrl-BA"/>
        </w:rPr>
        <w:t xml:space="preserve"> извоза</w:t>
      </w:r>
      <w:r w:rsidR="005349CC" w:rsidRPr="00DA6742">
        <w:rPr>
          <w:noProof/>
          <w:sz w:val="22"/>
          <w:szCs w:val="22"/>
          <w:lang w:val="sr-Latn-BA"/>
        </w:rPr>
        <w:t xml:space="preserve"> по фактури</w:t>
      </w:r>
      <w:r w:rsidR="000075F3" w:rsidRPr="00DA6742">
        <w:rPr>
          <w:noProof/>
          <w:sz w:val="22"/>
          <w:szCs w:val="22"/>
          <w:lang w:val="sr-Latn-BA"/>
        </w:rPr>
        <w:t>,</w:t>
      </w:r>
      <w:r w:rsidR="00115352" w:rsidRPr="00DA6742">
        <w:rPr>
          <w:noProof/>
          <w:sz w:val="22"/>
          <w:szCs w:val="22"/>
          <w:lang w:val="sr-Latn-BA"/>
        </w:rPr>
        <w:t xml:space="preserve"> </w:t>
      </w:r>
      <w:r w:rsidR="005349CC" w:rsidRPr="00DA6742">
        <w:rPr>
          <w:noProof/>
          <w:sz w:val="22"/>
          <w:szCs w:val="22"/>
          <w:lang w:val="sr-Cyrl-BA"/>
        </w:rPr>
        <w:t xml:space="preserve">те да </w:t>
      </w:r>
      <w:r w:rsidR="005349CC" w:rsidRPr="00DA6742">
        <w:rPr>
          <w:noProof/>
          <w:sz w:val="22"/>
          <w:szCs w:val="22"/>
          <w:lang w:val="sr-Latn-BA"/>
        </w:rPr>
        <w:t xml:space="preserve">обим </w:t>
      </w:r>
      <w:r w:rsidR="005349CC" w:rsidRPr="00DA6742">
        <w:rPr>
          <w:noProof/>
          <w:sz w:val="22"/>
          <w:szCs w:val="22"/>
          <w:lang w:val="sr-Cyrl-BA"/>
        </w:rPr>
        <w:t xml:space="preserve">њеног извоза </w:t>
      </w:r>
      <w:r w:rsidR="005349CC" w:rsidRPr="00DA6742">
        <w:rPr>
          <w:noProof/>
          <w:sz w:val="22"/>
          <w:szCs w:val="22"/>
          <w:lang w:val="sr-Latn-BA"/>
        </w:rPr>
        <w:t xml:space="preserve">оправдава употребу </w:t>
      </w:r>
      <w:r w:rsidR="005349CC" w:rsidRPr="00DA6742">
        <w:rPr>
          <w:noProof/>
          <w:sz w:val="22"/>
          <w:szCs w:val="22"/>
          <w:lang w:val="sr-Cyrl-BA"/>
        </w:rPr>
        <w:t>нав</w:t>
      </w:r>
      <w:r w:rsidR="00111D84" w:rsidRPr="00DA6742">
        <w:rPr>
          <w:noProof/>
          <w:sz w:val="22"/>
          <w:szCs w:val="22"/>
          <w:lang w:val="sr-Cyrl-BA"/>
        </w:rPr>
        <w:t>е</w:t>
      </w:r>
      <w:r w:rsidR="005349CC" w:rsidRPr="00DA6742">
        <w:rPr>
          <w:noProof/>
          <w:sz w:val="22"/>
          <w:szCs w:val="22"/>
          <w:lang w:val="sr-Cyrl-BA"/>
        </w:rPr>
        <w:t xml:space="preserve">деног </w:t>
      </w:r>
      <w:r w:rsidR="005349CC" w:rsidRPr="00DA6742">
        <w:rPr>
          <w:noProof/>
          <w:sz w:val="22"/>
          <w:szCs w:val="22"/>
          <w:lang w:val="sr-Latn-BA"/>
        </w:rPr>
        <w:t>поједноставље</w:t>
      </w:r>
      <w:r w:rsidR="005349CC" w:rsidRPr="00DA6742">
        <w:rPr>
          <w:noProof/>
          <w:sz w:val="22"/>
          <w:szCs w:val="22"/>
          <w:lang w:val="sr-Cyrl-BA"/>
        </w:rPr>
        <w:t>ња које може</w:t>
      </w:r>
      <w:r w:rsidR="005349CC" w:rsidRPr="00DA6742">
        <w:rPr>
          <w:noProof/>
          <w:sz w:val="22"/>
          <w:szCs w:val="22"/>
          <w:lang w:val="sr-Latn-BA"/>
        </w:rPr>
        <w:t xml:space="preserve"> увелико олакша</w:t>
      </w:r>
      <w:r w:rsidR="005349CC" w:rsidRPr="00DA6742">
        <w:rPr>
          <w:noProof/>
          <w:sz w:val="22"/>
          <w:szCs w:val="22"/>
          <w:lang w:val="sr-Cyrl-BA"/>
        </w:rPr>
        <w:t>ти пословање привредних субјеката.</w:t>
      </w:r>
    </w:p>
    <w:p w:rsidR="00982577" w:rsidRPr="00DA6742" w:rsidRDefault="005349CC" w:rsidP="00567D3F">
      <w:pPr>
        <w:pStyle w:val="NoSpacing"/>
        <w:jc w:val="both"/>
        <w:rPr>
          <w:noProof/>
          <w:sz w:val="22"/>
          <w:szCs w:val="22"/>
          <w:lang w:val="sr-Latn-BA"/>
        </w:rPr>
      </w:pPr>
      <w:r w:rsidRPr="00DA6742">
        <w:rPr>
          <w:noProof/>
          <w:sz w:val="22"/>
          <w:szCs w:val="22"/>
          <w:lang w:val="sr-Cyrl-BA"/>
        </w:rPr>
        <w:t>Из изнијетог</w:t>
      </w:r>
      <w:r w:rsidR="000075F3" w:rsidRPr="00DA6742">
        <w:rPr>
          <w:noProof/>
          <w:sz w:val="22"/>
          <w:szCs w:val="22"/>
          <w:lang w:val="sr-Latn-BA"/>
        </w:rPr>
        <w:t xml:space="preserve"> </w:t>
      </w:r>
      <w:r w:rsidR="006756A8" w:rsidRPr="00DA6742">
        <w:rPr>
          <w:noProof/>
          <w:sz w:val="22"/>
          <w:szCs w:val="22"/>
          <w:lang w:val="sr-Latn-BA"/>
        </w:rPr>
        <w:t xml:space="preserve">припремљен </w:t>
      </w:r>
      <w:r w:rsidRPr="00DA6742">
        <w:rPr>
          <w:noProof/>
          <w:sz w:val="22"/>
          <w:szCs w:val="22"/>
          <w:lang w:val="sr-Cyrl-BA"/>
        </w:rPr>
        <w:t xml:space="preserve">је </w:t>
      </w:r>
      <w:r w:rsidR="003A7597" w:rsidRPr="00DA6742">
        <w:rPr>
          <w:noProof/>
          <w:sz w:val="22"/>
          <w:szCs w:val="22"/>
          <w:lang w:val="sr-Latn-BA"/>
        </w:rPr>
        <w:t xml:space="preserve">преднацрт </w:t>
      </w:r>
      <w:r w:rsidR="00C751CC" w:rsidRPr="00DA6742">
        <w:rPr>
          <w:i/>
          <w:noProof/>
          <w:sz w:val="22"/>
          <w:szCs w:val="22"/>
          <w:lang w:val="sr-Latn-BA"/>
        </w:rPr>
        <w:t>Упутства о допун</w:t>
      </w:r>
      <w:r w:rsidRPr="00DA6742">
        <w:rPr>
          <w:i/>
          <w:noProof/>
          <w:sz w:val="22"/>
          <w:szCs w:val="22"/>
          <w:lang w:val="sr-Cyrl-BA"/>
        </w:rPr>
        <w:t>и</w:t>
      </w:r>
      <w:r w:rsidR="006756A8" w:rsidRPr="00DA6742">
        <w:rPr>
          <w:i/>
          <w:noProof/>
          <w:sz w:val="22"/>
          <w:szCs w:val="22"/>
          <w:lang w:val="sr-Latn-BA"/>
        </w:rPr>
        <w:t xml:space="preserve"> Упутства </w:t>
      </w:r>
      <w:r w:rsidR="00DC0346" w:rsidRPr="00DA6742">
        <w:rPr>
          <w:i/>
          <w:noProof/>
          <w:sz w:val="22"/>
          <w:szCs w:val="22"/>
          <w:lang w:val="sr-Latn-BA"/>
        </w:rPr>
        <w:t>о поједностављеном царинском поступку по фактури</w:t>
      </w:r>
      <w:r w:rsidR="000075F3" w:rsidRPr="00DA6742">
        <w:rPr>
          <w:i/>
          <w:noProof/>
          <w:sz w:val="22"/>
          <w:szCs w:val="22"/>
          <w:lang w:val="sr-Latn-BA"/>
        </w:rPr>
        <w:t>,</w:t>
      </w:r>
      <w:r w:rsidR="00011960" w:rsidRPr="00DA6742">
        <w:rPr>
          <w:noProof/>
          <w:sz w:val="22"/>
          <w:szCs w:val="22"/>
          <w:lang w:val="sr-Latn-BA"/>
        </w:rPr>
        <w:t xml:space="preserve"> </w:t>
      </w:r>
      <w:r w:rsidR="00DC0346" w:rsidRPr="00DA6742">
        <w:rPr>
          <w:noProof/>
          <w:sz w:val="22"/>
          <w:szCs w:val="22"/>
          <w:lang w:val="sr-Latn-BA"/>
        </w:rPr>
        <w:t xml:space="preserve">којим се за </w:t>
      </w:r>
      <w:r w:rsidR="00751755" w:rsidRPr="00DA6742">
        <w:rPr>
          <w:noProof/>
          <w:sz w:val="22"/>
          <w:szCs w:val="22"/>
          <w:lang w:val="sr-Latn-BA"/>
        </w:rPr>
        <w:t xml:space="preserve">предње наведену </w:t>
      </w:r>
      <w:r w:rsidR="00C751CC" w:rsidRPr="00DA6742">
        <w:rPr>
          <w:noProof/>
          <w:sz w:val="22"/>
          <w:szCs w:val="22"/>
          <w:lang w:val="sr-Latn-BA"/>
        </w:rPr>
        <w:t xml:space="preserve">робу </w:t>
      </w:r>
      <w:r w:rsidR="000E60DF" w:rsidRPr="00DA6742">
        <w:rPr>
          <w:noProof/>
          <w:sz w:val="22"/>
          <w:szCs w:val="22"/>
          <w:lang w:val="sr-Latn-BA"/>
        </w:rPr>
        <w:t>за</w:t>
      </w:r>
      <w:r w:rsidRPr="00DA6742">
        <w:rPr>
          <w:noProof/>
          <w:sz w:val="22"/>
          <w:szCs w:val="22"/>
          <w:lang w:val="sr-Latn-BA"/>
        </w:rPr>
        <w:t xml:space="preserve"> из</w:t>
      </w:r>
      <w:r w:rsidR="00EE6D07">
        <w:rPr>
          <w:noProof/>
          <w:sz w:val="22"/>
          <w:szCs w:val="22"/>
          <w:lang w:val="sr-Cyrl-BA"/>
        </w:rPr>
        <w:t>в</w:t>
      </w:r>
      <w:r w:rsidR="00CE665B" w:rsidRPr="00DA6742">
        <w:rPr>
          <w:noProof/>
          <w:sz w:val="22"/>
          <w:szCs w:val="22"/>
          <w:lang w:val="sr-Latn-BA"/>
        </w:rPr>
        <w:t xml:space="preserve">озни поступак </w:t>
      </w:r>
      <w:r w:rsidR="00C1179A" w:rsidRPr="00DA6742">
        <w:rPr>
          <w:noProof/>
          <w:sz w:val="22"/>
          <w:szCs w:val="22"/>
          <w:lang w:val="sr-Latn-BA"/>
        </w:rPr>
        <w:t>врши</w:t>
      </w:r>
      <w:r w:rsidR="00DC0346" w:rsidRPr="00DA6742">
        <w:rPr>
          <w:noProof/>
          <w:sz w:val="22"/>
          <w:szCs w:val="22"/>
          <w:lang w:val="sr-Latn-BA"/>
        </w:rPr>
        <w:t xml:space="preserve"> допун</w:t>
      </w:r>
      <w:r w:rsidR="00C751CC" w:rsidRPr="00DA6742">
        <w:rPr>
          <w:noProof/>
          <w:sz w:val="22"/>
          <w:szCs w:val="22"/>
          <w:lang w:val="sr-Latn-BA"/>
        </w:rPr>
        <w:t>а</w:t>
      </w:r>
      <w:r w:rsidR="003A7597" w:rsidRPr="00DA6742">
        <w:rPr>
          <w:noProof/>
          <w:sz w:val="22"/>
          <w:szCs w:val="22"/>
          <w:lang w:val="sr-Latn-BA"/>
        </w:rPr>
        <w:t xml:space="preserve"> Прилога 1</w:t>
      </w:r>
      <w:r w:rsidR="00DC0346" w:rsidRPr="00DA6742">
        <w:rPr>
          <w:noProof/>
          <w:sz w:val="22"/>
          <w:szCs w:val="22"/>
          <w:lang w:val="sr-Latn-BA"/>
        </w:rPr>
        <w:t>.</w:t>
      </w:r>
      <w:r w:rsidR="000075F3" w:rsidRPr="00DA6742">
        <w:rPr>
          <w:noProof/>
          <w:sz w:val="22"/>
          <w:szCs w:val="22"/>
          <w:lang w:val="sr-Latn-BA"/>
        </w:rPr>
        <w:t xml:space="preserve"> (</w:t>
      </w:r>
      <w:r w:rsidR="00E16C84" w:rsidRPr="00DA6742">
        <w:rPr>
          <w:noProof/>
          <w:sz w:val="22"/>
          <w:szCs w:val="22"/>
          <w:lang w:val="sr-Latn-BA"/>
        </w:rPr>
        <w:t>Списак роба за поје</w:t>
      </w:r>
      <w:r w:rsidR="00DC0346" w:rsidRPr="00DA6742">
        <w:rPr>
          <w:noProof/>
          <w:sz w:val="22"/>
          <w:szCs w:val="22"/>
          <w:lang w:val="sr-Latn-BA"/>
        </w:rPr>
        <w:t>д</w:t>
      </w:r>
      <w:r w:rsidR="00E16C84" w:rsidRPr="00DA6742">
        <w:rPr>
          <w:noProof/>
          <w:sz w:val="22"/>
          <w:szCs w:val="22"/>
          <w:lang w:val="sr-Latn-BA"/>
        </w:rPr>
        <w:t>н</w:t>
      </w:r>
      <w:r w:rsidR="00DC0346" w:rsidRPr="00DA6742">
        <w:rPr>
          <w:noProof/>
          <w:sz w:val="22"/>
          <w:szCs w:val="22"/>
          <w:lang w:val="sr-Latn-BA"/>
        </w:rPr>
        <w:t>ост</w:t>
      </w:r>
      <w:r w:rsidR="00931293" w:rsidRPr="00DA6742">
        <w:rPr>
          <w:noProof/>
          <w:sz w:val="22"/>
          <w:szCs w:val="22"/>
          <w:lang w:val="sr-Latn-BA"/>
        </w:rPr>
        <w:t>а</w:t>
      </w:r>
      <w:r w:rsidR="00DC0346" w:rsidRPr="00DA6742">
        <w:rPr>
          <w:noProof/>
          <w:sz w:val="22"/>
          <w:szCs w:val="22"/>
          <w:lang w:val="sr-Latn-BA"/>
        </w:rPr>
        <w:t>вљени поступак по фактури</w:t>
      </w:r>
      <w:r w:rsidR="000075F3" w:rsidRPr="00DA6742">
        <w:rPr>
          <w:noProof/>
          <w:sz w:val="22"/>
          <w:szCs w:val="22"/>
          <w:lang w:val="sr-Latn-BA"/>
        </w:rPr>
        <w:t>) п</w:t>
      </w:r>
      <w:r w:rsidR="00DC0346" w:rsidRPr="00DA6742">
        <w:rPr>
          <w:noProof/>
          <w:sz w:val="22"/>
          <w:szCs w:val="22"/>
          <w:lang w:val="sr-Latn-BA"/>
        </w:rPr>
        <w:t xml:space="preserve">редметног </w:t>
      </w:r>
      <w:r w:rsidR="00B61002" w:rsidRPr="00DA6742">
        <w:rPr>
          <w:noProof/>
          <w:sz w:val="22"/>
          <w:szCs w:val="22"/>
          <w:lang w:val="sr-Latn-BA"/>
        </w:rPr>
        <w:t>у</w:t>
      </w:r>
      <w:r w:rsidR="00931293" w:rsidRPr="00DA6742">
        <w:rPr>
          <w:noProof/>
          <w:sz w:val="22"/>
          <w:szCs w:val="22"/>
          <w:lang w:val="sr-Latn-BA"/>
        </w:rPr>
        <w:t>путства.</w:t>
      </w:r>
    </w:p>
    <w:p w:rsidR="0040004E" w:rsidRPr="00DA6742" w:rsidRDefault="0040004E" w:rsidP="00567D3F">
      <w:pPr>
        <w:pStyle w:val="NoSpacing"/>
        <w:jc w:val="both"/>
        <w:rPr>
          <w:noProof/>
          <w:sz w:val="22"/>
          <w:szCs w:val="22"/>
          <w:lang w:val="sr-Latn-BA"/>
        </w:rPr>
      </w:pPr>
    </w:p>
    <w:p w:rsidR="00290ABB" w:rsidRPr="00DA6742" w:rsidRDefault="00290ABB" w:rsidP="00567D3F">
      <w:pPr>
        <w:pStyle w:val="NoSpacing"/>
        <w:jc w:val="both"/>
        <w:rPr>
          <w:rFonts w:eastAsia="Calibri"/>
          <w:noProof/>
          <w:sz w:val="22"/>
          <w:szCs w:val="22"/>
          <w:lang w:val="sr-Latn-BA"/>
        </w:rPr>
      </w:pPr>
      <w:r w:rsidRPr="00DA6742">
        <w:rPr>
          <w:rFonts w:eastAsia="Calibri"/>
          <w:noProof/>
          <w:sz w:val="22"/>
          <w:szCs w:val="22"/>
          <w:lang w:val="sr-Latn-BA"/>
        </w:rPr>
        <w:t xml:space="preserve">Преднацрт Упутства о </w:t>
      </w:r>
      <w:r w:rsidR="003A7597" w:rsidRPr="00DA6742">
        <w:rPr>
          <w:rFonts w:eastAsia="Calibri"/>
          <w:noProof/>
          <w:sz w:val="22"/>
          <w:szCs w:val="22"/>
          <w:lang w:val="sr-Latn-BA"/>
        </w:rPr>
        <w:t>допун</w:t>
      </w:r>
      <w:r w:rsidR="005349CC" w:rsidRPr="00DA6742">
        <w:rPr>
          <w:rFonts w:eastAsia="Calibri"/>
          <w:noProof/>
          <w:sz w:val="22"/>
          <w:szCs w:val="22"/>
          <w:lang w:val="sr-Cyrl-BA"/>
        </w:rPr>
        <w:t>и</w:t>
      </w:r>
      <w:r w:rsidR="003A7597" w:rsidRPr="00DA6742">
        <w:rPr>
          <w:rFonts w:eastAsia="Calibri"/>
          <w:noProof/>
          <w:sz w:val="22"/>
          <w:szCs w:val="22"/>
          <w:lang w:val="sr-Latn-BA"/>
        </w:rPr>
        <w:t xml:space="preserve"> Упутства о </w:t>
      </w:r>
      <w:r w:rsidRPr="00DA6742">
        <w:rPr>
          <w:noProof/>
          <w:sz w:val="22"/>
          <w:szCs w:val="22"/>
          <w:lang w:val="sr-Latn-BA"/>
        </w:rPr>
        <w:t xml:space="preserve">поједностављеном царинском поступку по фактури </w:t>
      </w:r>
      <w:r w:rsidRPr="00DA6742">
        <w:rPr>
          <w:rFonts w:eastAsia="Calibri"/>
          <w:noProof/>
          <w:sz w:val="22"/>
          <w:szCs w:val="22"/>
          <w:lang w:val="sr-Latn-BA"/>
        </w:rPr>
        <w:t>усклађен је са Јединственим правилима за израду правних прописа у институцијама Босне и Херцеговине (''Службени гласник БиХ'', бр. 11/05, 58/14, 60/14, 50/17, 70/17 и 10/21).</w:t>
      </w:r>
    </w:p>
    <w:p w:rsidR="003A7597" w:rsidRPr="00DA6742" w:rsidRDefault="003A7597" w:rsidP="00567D3F">
      <w:pPr>
        <w:pStyle w:val="NoSpacing"/>
        <w:jc w:val="both"/>
        <w:rPr>
          <w:rFonts w:eastAsia="Calibri"/>
          <w:noProof/>
          <w:sz w:val="22"/>
          <w:szCs w:val="22"/>
          <w:lang w:val="sr-Latn-BA"/>
        </w:rPr>
      </w:pPr>
    </w:p>
    <w:p w:rsidR="00A9332B" w:rsidRPr="00DA6742" w:rsidRDefault="00290ABB" w:rsidP="00567D3F">
      <w:pPr>
        <w:pStyle w:val="NoSpacing"/>
        <w:jc w:val="both"/>
        <w:rPr>
          <w:b/>
          <w:noProof/>
          <w:sz w:val="22"/>
          <w:szCs w:val="22"/>
          <w:lang w:val="sr-Latn-BA"/>
        </w:rPr>
      </w:pPr>
      <w:r w:rsidRPr="00DA6742">
        <w:rPr>
          <w:b/>
          <w:noProof/>
          <w:sz w:val="22"/>
          <w:szCs w:val="22"/>
          <w:lang w:val="sr-Latn-BA"/>
        </w:rPr>
        <w:t xml:space="preserve">Финансијска средства за спровођење </w:t>
      </w:r>
      <w:r w:rsidR="00A9332B" w:rsidRPr="00DA6742">
        <w:rPr>
          <w:b/>
          <w:noProof/>
          <w:sz w:val="22"/>
          <w:szCs w:val="22"/>
          <w:lang w:val="sr-Latn-BA"/>
        </w:rPr>
        <w:t xml:space="preserve">Упутства о допуни Упутства о поједностављеном царинском поступку по фактури </w:t>
      </w:r>
    </w:p>
    <w:p w:rsidR="00A9332B" w:rsidRPr="00DA6742" w:rsidRDefault="00A9332B" w:rsidP="00567D3F">
      <w:pPr>
        <w:pStyle w:val="NoSpacing"/>
        <w:jc w:val="both"/>
        <w:rPr>
          <w:noProof/>
          <w:sz w:val="22"/>
          <w:szCs w:val="22"/>
          <w:lang w:val="sr-Latn-BA"/>
        </w:rPr>
      </w:pPr>
    </w:p>
    <w:p w:rsidR="00290ABB" w:rsidRPr="00DA6742" w:rsidRDefault="00290ABB" w:rsidP="00567D3F">
      <w:pPr>
        <w:pStyle w:val="NoSpacing"/>
        <w:jc w:val="both"/>
        <w:rPr>
          <w:noProof/>
          <w:sz w:val="22"/>
          <w:szCs w:val="22"/>
          <w:lang w:val="sr-Latn-BA"/>
        </w:rPr>
      </w:pPr>
      <w:r w:rsidRPr="00DA6742">
        <w:rPr>
          <w:noProof/>
          <w:sz w:val="22"/>
          <w:szCs w:val="22"/>
          <w:lang w:val="sr-Latn-BA"/>
        </w:rPr>
        <w:t xml:space="preserve">За спровођење </w:t>
      </w:r>
      <w:r w:rsidR="00A9332B" w:rsidRPr="00DA6742">
        <w:rPr>
          <w:noProof/>
          <w:sz w:val="22"/>
          <w:szCs w:val="22"/>
          <w:lang w:val="sr-Latn-BA"/>
        </w:rPr>
        <w:t xml:space="preserve">овог упутства </w:t>
      </w:r>
      <w:r w:rsidRPr="00DA6742">
        <w:rPr>
          <w:noProof/>
          <w:sz w:val="22"/>
          <w:szCs w:val="22"/>
          <w:lang w:val="sr-Latn-BA"/>
        </w:rPr>
        <w:t>нису потребна додатна финансијска средства.</w:t>
      </w:r>
    </w:p>
    <w:p w:rsidR="00A9332B" w:rsidRDefault="00A9332B" w:rsidP="00567D3F">
      <w:pPr>
        <w:pStyle w:val="NoSpacing"/>
        <w:jc w:val="both"/>
        <w:rPr>
          <w:rFonts w:eastAsia="Calibri"/>
          <w:noProof/>
          <w:sz w:val="22"/>
          <w:szCs w:val="22"/>
          <w:lang w:val="sr-Latn-BA"/>
        </w:rPr>
      </w:pPr>
    </w:p>
    <w:p w:rsidR="00744281" w:rsidRDefault="00744281" w:rsidP="00567D3F">
      <w:pPr>
        <w:pStyle w:val="NoSpacing"/>
        <w:jc w:val="both"/>
        <w:rPr>
          <w:rFonts w:eastAsia="Calibri"/>
          <w:noProof/>
          <w:sz w:val="22"/>
          <w:szCs w:val="22"/>
          <w:lang w:val="sr-Latn-BA"/>
        </w:rPr>
      </w:pPr>
    </w:p>
    <w:p w:rsidR="00CB164B" w:rsidRPr="00DA6742" w:rsidRDefault="00CB164B" w:rsidP="00567D3F">
      <w:pPr>
        <w:pStyle w:val="NoSpacing"/>
        <w:jc w:val="both"/>
        <w:rPr>
          <w:rFonts w:eastAsia="Calibri"/>
          <w:noProof/>
          <w:sz w:val="22"/>
          <w:szCs w:val="22"/>
          <w:lang w:val="sr-Latn-BA"/>
        </w:rPr>
      </w:pPr>
    </w:p>
    <w:p w:rsidR="00A9332B" w:rsidRPr="00DA6742" w:rsidRDefault="005349CC" w:rsidP="00CB164B">
      <w:pPr>
        <w:pStyle w:val="NoSpacing"/>
        <w:jc w:val="both"/>
        <w:rPr>
          <w:rFonts w:eastAsia="Calibri"/>
          <w:noProof/>
          <w:sz w:val="22"/>
          <w:szCs w:val="22"/>
          <w:lang w:val="sr-Latn-BA"/>
        </w:rPr>
      </w:pPr>
      <w:r w:rsidRPr="00744281">
        <w:rPr>
          <w:rFonts w:eastAsia="Calibri"/>
          <w:noProof/>
          <w:sz w:val="22"/>
          <w:szCs w:val="22"/>
          <w:lang w:val="sr-Latn-BA"/>
        </w:rPr>
        <w:t xml:space="preserve">Бања Лука, </w:t>
      </w:r>
      <w:r w:rsidR="00744281">
        <w:rPr>
          <w:rFonts w:eastAsia="Calibri"/>
          <w:noProof/>
          <w:sz w:val="22"/>
          <w:szCs w:val="22"/>
          <w:lang w:val="sr-Latn-BA"/>
        </w:rPr>
        <w:t>27</w:t>
      </w:r>
      <w:r w:rsidRPr="00744281">
        <w:rPr>
          <w:rFonts w:eastAsia="Calibri"/>
          <w:noProof/>
          <w:sz w:val="22"/>
          <w:szCs w:val="22"/>
          <w:lang w:val="sr-Latn-BA"/>
        </w:rPr>
        <w:t>.05.2025.</w:t>
      </w:r>
      <w:r w:rsidR="00A9332B" w:rsidRPr="00744281">
        <w:rPr>
          <w:rFonts w:eastAsia="Calibri"/>
          <w:noProof/>
          <w:sz w:val="22"/>
          <w:szCs w:val="22"/>
          <w:lang w:val="sr-Latn-BA"/>
        </w:rPr>
        <w:t xml:space="preserve"> године                                         </w:t>
      </w:r>
      <w:r w:rsidR="00A9332B" w:rsidRPr="00DA6742">
        <w:rPr>
          <w:rFonts w:eastAsia="Calibri"/>
          <w:noProof/>
          <w:sz w:val="22"/>
          <w:szCs w:val="22"/>
          <w:lang w:val="sr-Latn-BA"/>
        </w:rPr>
        <w:t>У</w:t>
      </w:r>
      <w:r w:rsidR="00CB164B">
        <w:rPr>
          <w:rFonts w:eastAsia="Calibri"/>
          <w:noProof/>
          <w:sz w:val="22"/>
          <w:szCs w:val="22"/>
          <w:lang w:val="sr-Cyrl-BA"/>
        </w:rPr>
        <w:t>ПРАВА ЗА ИНДИРЕКТНО ОПОРЕЗИВАЊЕ</w:t>
      </w:r>
    </w:p>
    <w:sectPr w:rsidR="00A9332B" w:rsidRPr="00DA6742" w:rsidSect="00567D3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C">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4CC"/>
    <w:multiLevelType w:val="hybridMultilevel"/>
    <w:tmpl w:val="3B28D74C"/>
    <w:lvl w:ilvl="0" w:tplc="C0286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24DB"/>
    <w:multiLevelType w:val="hybridMultilevel"/>
    <w:tmpl w:val="EED033C4"/>
    <w:lvl w:ilvl="0" w:tplc="83746D0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34E49592">
      <w:start w:val="4"/>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9A0247"/>
    <w:multiLevelType w:val="hybridMultilevel"/>
    <w:tmpl w:val="622EFB12"/>
    <w:lvl w:ilvl="0" w:tplc="62609068">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E33C12"/>
    <w:multiLevelType w:val="hybridMultilevel"/>
    <w:tmpl w:val="7B2233AE"/>
    <w:lvl w:ilvl="0" w:tplc="F2B24FA0">
      <w:start w:val="1"/>
      <w:numFmt w:val="lowerLetter"/>
      <w:lvlText w:val="%1)"/>
      <w:lvlJc w:val="left"/>
      <w:pPr>
        <w:ind w:left="720" w:hanging="360"/>
      </w:pPr>
      <w:rPr>
        <w:rFonts w:ascii="Times-C" w:hAnsi="Times-C" w:hint="default"/>
        <w:b w:val="0"/>
        <w:i w:val="0"/>
        <w:strike w:val="0"/>
        <w:color w:val="auto"/>
        <w:sz w:val="22"/>
        <w:szCs w:val="22"/>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1057146C"/>
    <w:multiLevelType w:val="hybridMultilevel"/>
    <w:tmpl w:val="D48A6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072585"/>
    <w:multiLevelType w:val="hybridMultilevel"/>
    <w:tmpl w:val="D062E408"/>
    <w:lvl w:ilvl="0" w:tplc="5454A336">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CF2EB2"/>
    <w:multiLevelType w:val="hybridMultilevel"/>
    <w:tmpl w:val="5DEA75B6"/>
    <w:lvl w:ilvl="0" w:tplc="C02863D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AF8585F"/>
    <w:multiLevelType w:val="hybridMultilevel"/>
    <w:tmpl w:val="1EA62590"/>
    <w:lvl w:ilvl="0" w:tplc="3A7ABA64">
      <w:start w:val="1"/>
      <w:numFmt w:val="lowerLetter"/>
      <w:lvlText w:val="%1)"/>
      <w:lvlJc w:val="left"/>
      <w:pPr>
        <w:tabs>
          <w:tab w:val="num" w:pos="1320"/>
        </w:tabs>
        <w:ind w:left="1320" w:hanging="7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B7B4E37"/>
    <w:multiLevelType w:val="hybridMultilevel"/>
    <w:tmpl w:val="8DBC0DBA"/>
    <w:lvl w:ilvl="0" w:tplc="C02863D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0D35661"/>
    <w:multiLevelType w:val="hybridMultilevel"/>
    <w:tmpl w:val="5C4C519E"/>
    <w:lvl w:ilvl="0" w:tplc="9C6A14AC">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AC005F6"/>
    <w:multiLevelType w:val="hybridMultilevel"/>
    <w:tmpl w:val="6142900C"/>
    <w:lvl w:ilvl="0" w:tplc="FAD0C5A2">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F861E4"/>
    <w:multiLevelType w:val="hybridMultilevel"/>
    <w:tmpl w:val="6290A736"/>
    <w:lvl w:ilvl="0" w:tplc="4FBA03CA">
      <w:start w:val="1"/>
      <w:numFmt w:val="lowerLetter"/>
      <w:lvlText w:val="%1)"/>
      <w:lvlJc w:val="left"/>
      <w:pPr>
        <w:tabs>
          <w:tab w:val="num" w:pos="1260"/>
        </w:tabs>
        <w:ind w:left="1260" w:hanging="360"/>
      </w:pPr>
      <w:rPr>
        <w:b w:val="0"/>
        <w:sz w:val="21"/>
        <w:szCs w:val="21"/>
      </w:rPr>
    </w:lvl>
    <w:lvl w:ilvl="1" w:tplc="25162206">
      <w:start w:val="1"/>
      <w:numFmt w:val="bullet"/>
      <w:lvlText w:val="-"/>
      <w:lvlJc w:val="left"/>
      <w:pPr>
        <w:tabs>
          <w:tab w:val="num" w:pos="1980"/>
        </w:tabs>
        <w:ind w:left="1980" w:hanging="360"/>
      </w:pPr>
      <w:rPr>
        <w:rFonts w:ascii="Times New Roman" w:eastAsia="Times New Roman" w:hAnsi="Times New Roman" w:cs="Times New Roman" w:hint="default"/>
      </w:rPr>
    </w:lvl>
    <w:lvl w:ilvl="2" w:tplc="3E1ABF7C">
      <w:start w:val="1"/>
      <w:numFmt w:val="decimal"/>
      <w:lvlText w:val="%3."/>
      <w:lvlJc w:val="left"/>
      <w:pPr>
        <w:tabs>
          <w:tab w:val="num" w:pos="2880"/>
        </w:tabs>
        <w:ind w:left="28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727098"/>
    <w:multiLevelType w:val="hybridMultilevel"/>
    <w:tmpl w:val="D09EB6AE"/>
    <w:lvl w:ilvl="0" w:tplc="FA1EE062">
      <w:start w:val="1"/>
      <w:numFmt w:val="lowerLetter"/>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38E5ED6"/>
    <w:multiLevelType w:val="hybridMultilevel"/>
    <w:tmpl w:val="E1144860"/>
    <w:lvl w:ilvl="0" w:tplc="F9304EAC">
      <w:start w:val="32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5AC2408"/>
    <w:multiLevelType w:val="hybridMultilevel"/>
    <w:tmpl w:val="4A76EE2C"/>
    <w:lvl w:ilvl="0" w:tplc="15B053E8">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7562E7"/>
    <w:multiLevelType w:val="hybridMultilevel"/>
    <w:tmpl w:val="17D0DD44"/>
    <w:lvl w:ilvl="0" w:tplc="26528DF4">
      <w:start w:val="1"/>
      <w:numFmt w:val="lowerLetter"/>
      <w:lvlText w:val="%1)"/>
      <w:lvlJc w:val="left"/>
      <w:pPr>
        <w:tabs>
          <w:tab w:val="num" w:pos="1260"/>
        </w:tabs>
        <w:ind w:left="1260" w:hanging="360"/>
      </w:pPr>
    </w:lvl>
    <w:lvl w:ilvl="1" w:tplc="373AFE04">
      <w:start w:val="1"/>
      <w:numFmt w:val="decimal"/>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B7926E8"/>
    <w:multiLevelType w:val="hybridMultilevel"/>
    <w:tmpl w:val="F070A8CE"/>
    <w:lvl w:ilvl="0" w:tplc="5C220E96">
      <w:start w:val="1"/>
      <w:numFmt w:val="lowerLetter"/>
      <w:lvlText w:val="%1)"/>
      <w:lvlJc w:val="left"/>
      <w:pPr>
        <w:tabs>
          <w:tab w:val="num" w:pos="1260"/>
        </w:tabs>
        <w:ind w:left="12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3D854B1"/>
    <w:multiLevelType w:val="hybridMultilevel"/>
    <w:tmpl w:val="2A486626"/>
    <w:lvl w:ilvl="0" w:tplc="54F48472">
      <w:start w:val="1"/>
      <w:numFmt w:val="lowerLetter"/>
      <w:lvlText w:val="%1)"/>
      <w:lvlJc w:val="left"/>
      <w:pPr>
        <w:ind w:left="720" w:hanging="360"/>
      </w:pPr>
      <w:rPr>
        <w:rFonts w:ascii="Times-C" w:hAnsi="Times-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3092E"/>
    <w:multiLevelType w:val="hybridMultilevel"/>
    <w:tmpl w:val="CE66D63A"/>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34AE0"/>
    <w:multiLevelType w:val="hybridMultilevel"/>
    <w:tmpl w:val="AA921ECA"/>
    <w:lvl w:ilvl="0" w:tplc="F9304EAC">
      <w:start w:val="3214"/>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655C5243"/>
    <w:multiLevelType w:val="hybridMultilevel"/>
    <w:tmpl w:val="C906762A"/>
    <w:lvl w:ilvl="0" w:tplc="2F0661AA">
      <w:start w:val="1"/>
      <w:numFmt w:val="lowerLetter"/>
      <w:lvlText w:val="%1)"/>
      <w:lvlJc w:val="left"/>
      <w:pPr>
        <w:tabs>
          <w:tab w:val="num" w:pos="1440"/>
        </w:tabs>
        <w:ind w:left="1440" w:hanging="360"/>
      </w:pPr>
    </w:lvl>
    <w:lvl w:ilvl="1" w:tplc="BE347D24">
      <w:start w:val="1"/>
      <w:numFmt w:val="decimal"/>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6534763"/>
    <w:multiLevelType w:val="hybridMultilevel"/>
    <w:tmpl w:val="52421BB0"/>
    <w:lvl w:ilvl="0" w:tplc="C02863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C6B0E52"/>
    <w:multiLevelType w:val="hybridMultilevel"/>
    <w:tmpl w:val="007874A6"/>
    <w:lvl w:ilvl="0" w:tplc="C02863D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E877502"/>
    <w:multiLevelType w:val="hybridMultilevel"/>
    <w:tmpl w:val="480C5A3A"/>
    <w:lvl w:ilvl="0" w:tplc="C02863D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6F2811EB"/>
    <w:multiLevelType w:val="hybridMultilevel"/>
    <w:tmpl w:val="125822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B92706"/>
    <w:multiLevelType w:val="hybridMultilevel"/>
    <w:tmpl w:val="680CFB54"/>
    <w:lvl w:ilvl="0" w:tplc="5D5AD6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D79B5"/>
    <w:multiLevelType w:val="hybridMultilevel"/>
    <w:tmpl w:val="B5AE47DA"/>
    <w:lvl w:ilvl="0" w:tplc="C0286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0128F"/>
    <w:multiLevelType w:val="hybridMultilevel"/>
    <w:tmpl w:val="731213E4"/>
    <w:lvl w:ilvl="0" w:tplc="C0286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816E9"/>
    <w:multiLevelType w:val="hybridMultilevel"/>
    <w:tmpl w:val="1AC65F7C"/>
    <w:lvl w:ilvl="0" w:tplc="67C0972C">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
  </w:num>
  <w:num w:numId="16">
    <w:abstractNumId w:val="0"/>
  </w:num>
  <w:num w:numId="17">
    <w:abstractNumId w:val="8"/>
  </w:num>
  <w:num w:numId="18">
    <w:abstractNumId w:val="27"/>
  </w:num>
  <w:num w:numId="19">
    <w:abstractNumId w:val="22"/>
  </w:num>
  <w:num w:numId="20">
    <w:abstractNumId w:val="23"/>
  </w:num>
  <w:num w:numId="21">
    <w:abstractNumId w:val="6"/>
  </w:num>
  <w:num w:numId="22">
    <w:abstractNumId w:val="26"/>
  </w:num>
  <w:num w:numId="23">
    <w:abstractNumId w:val="4"/>
  </w:num>
  <w:num w:numId="24">
    <w:abstractNumId w:val="17"/>
  </w:num>
  <w:num w:numId="25">
    <w:abstractNumId w:val="18"/>
  </w:num>
  <w:num w:numId="26">
    <w:abstractNumId w:val="19"/>
  </w:num>
  <w:num w:numId="27">
    <w:abstractNumId w:val="13"/>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DE"/>
    <w:rsid w:val="000075F3"/>
    <w:rsid w:val="00011960"/>
    <w:rsid w:val="00014AFD"/>
    <w:rsid w:val="00034330"/>
    <w:rsid w:val="000636D5"/>
    <w:rsid w:val="00082762"/>
    <w:rsid w:val="00082A30"/>
    <w:rsid w:val="000A0867"/>
    <w:rsid w:val="000A5D4D"/>
    <w:rsid w:val="000B14F6"/>
    <w:rsid w:val="000E60DF"/>
    <w:rsid w:val="000F2090"/>
    <w:rsid w:val="000F633A"/>
    <w:rsid w:val="000F6536"/>
    <w:rsid w:val="000F7CD4"/>
    <w:rsid w:val="00107DC9"/>
    <w:rsid w:val="00110195"/>
    <w:rsid w:val="00111D84"/>
    <w:rsid w:val="00115352"/>
    <w:rsid w:val="001215F1"/>
    <w:rsid w:val="00134805"/>
    <w:rsid w:val="0013639B"/>
    <w:rsid w:val="00146B26"/>
    <w:rsid w:val="00171AA4"/>
    <w:rsid w:val="001A48E5"/>
    <w:rsid w:val="001B0972"/>
    <w:rsid w:val="001B7FD1"/>
    <w:rsid w:val="001C494D"/>
    <w:rsid w:val="001C498B"/>
    <w:rsid w:val="001E3E99"/>
    <w:rsid w:val="001E69BE"/>
    <w:rsid w:val="001F4390"/>
    <w:rsid w:val="00215D74"/>
    <w:rsid w:val="0021784F"/>
    <w:rsid w:val="00223157"/>
    <w:rsid w:val="00236935"/>
    <w:rsid w:val="00243824"/>
    <w:rsid w:val="00245FB0"/>
    <w:rsid w:val="002564CA"/>
    <w:rsid w:val="002620F0"/>
    <w:rsid w:val="00265A13"/>
    <w:rsid w:val="00266428"/>
    <w:rsid w:val="002730F3"/>
    <w:rsid w:val="0028364C"/>
    <w:rsid w:val="00286CB1"/>
    <w:rsid w:val="00290ABB"/>
    <w:rsid w:val="00292784"/>
    <w:rsid w:val="002957E4"/>
    <w:rsid w:val="002A2A8B"/>
    <w:rsid w:val="002A3ED0"/>
    <w:rsid w:val="002A5216"/>
    <w:rsid w:val="002C4BF7"/>
    <w:rsid w:val="002E0BA3"/>
    <w:rsid w:val="002E23DC"/>
    <w:rsid w:val="002E555D"/>
    <w:rsid w:val="00310EA0"/>
    <w:rsid w:val="003111E4"/>
    <w:rsid w:val="00311724"/>
    <w:rsid w:val="003176FE"/>
    <w:rsid w:val="00332834"/>
    <w:rsid w:val="00334A94"/>
    <w:rsid w:val="003402D2"/>
    <w:rsid w:val="003508FB"/>
    <w:rsid w:val="0035654F"/>
    <w:rsid w:val="00362D9F"/>
    <w:rsid w:val="00363870"/>
    <w:rsid w:val="003722D8"/>
    <w:rsid w:val="00377A28"/>
    <w:rsid w:val="00377C6F"/>
    <w:rsid w:val="00390167"/>
    <w:rsid w:val="00396F04"/>
    <w:rsid w:val="003A2892"/>
    <w:rsid w:val="003A6674"/>
    <w:rsid w:val="003A7597"/>
    <w:rsid w:val="003B01AA"/>
    <w:rsid w:val="003B5E69"/>
    <w:rsid w:val="003C1C82"/>
    <w:rsid w:val="003D584B"/>
    <w:rsid w:val="003F22A7"/>
    <w:rsid w:val="0040004E"/>
    <w:rsid w:val="004121A0"/>
    <w:rsid w:val="004123ED"/>
    <w:rsid w:val="00415A9E"/>
    <w:rsid w:val="00416B0A"/>
    <w:rsid w:val="00425CC8"/>
    <w:rsid w:val="00455E68"/>
    <w:rsid w:val="004637DE"/>
    <w:rsid w:val="004855EC"/>
    <w:rsid w:val="00486151"/>
    <w:rsid w:val="00495484"/>
    <w:rsid w:val="004A577B"/>
    <w:rsid w:val="004A74E8"/>
    <w:rsid w:val="004C6AF4"/>
    <w:rsid w:val="004D03EF"/>
    <w:rsid w:val="004D3CA2"/>
    <w:rsid w:val="004D4C06"/>
    <w:rsid w:val="004E22A1"/>
    <w:rsid w:val="004E6FE9"/>
    <w:rsid w:val="004E72C4"/>
    <w:rsid w:val="004F6EDC"/>
    <w:rsid w:val="00505C1F"/>
    <w:rsid w:val="00506997"/>
    <w:rsid w:val="005250DA"/>
    <w:rsid w:val="005333C3"/>
    <w:rsid w:val="005349CC"/>
    <w:rsid w:val="00546145"/>
    <w:rsid w:val="00552968"/>
    <w:rsid w:val="00567D3F"/>
    <w:rsid w:val="005878B5"/>
    <w:rsid w:val="005C1066"/>
    <w:rsid w:val="005C42BF"/>
    <w:rsid w:val="005D101A"/>
    <w:rsid w:val="005D5DFB"/>
    <w:rsid w:val="005F2E25"/>
    <w:rsid w:val="00600963"/>
    <w:rsid w:val="00615A1B"/>
    <w:rsid w:val="00621A19"/>
    <w:rsid w:val="00627703"/>
    <w:rsid w:val="00631061"/>
    <w:rsid w:val="006634D0"/>
    <w:rsid w:val="0066413C"/>
    <w:rsid w:val="006706EB"/>
    <w:rsid w:val="006756A8"/>
    <w:rsid w:val="0067609E"/>
    <w:rsid w:val="006764BD"/>
    <w:rsid w:val="0067655C"/>
    <w:rsid w:val="00694AAB"/>
    <w:rsid w:val="006A2D79"/>
    <w:rsid w:val="006A4A6B"/>
    <w:rsid w:val="006A65A7"/>
    <w:rsid w:val="006A75BD"/>
    <w:rsid w:val="006B570D"/>
    <w:rsid w:val="006B74C8"/>
    <w:rsid w:val="006C2386"/>
    <w:rsid w:val="006C63D9"/>
    <w:rsid w:val="006D7932"/>
    <w:rsid w:val="006E3594"/>
    <w:rsid w:val="006F7EE4"/>
    <w:rsid w:val="007059C5"/>
    <w:rsid w:val="007165F2"/>
    <w:rsid w:val="00732DDC"/>
    <w:rsid w:val="007406EA"/>
    <w:rsid w:val="00744281"/>
    <w:rsid w:val="00746DF1"/>
    <w:rsid w:val="00747C55"/>
    <w:rsid w:val="00751755"/>
    <w:rsid w:val="007521B6"/>
    <w:rsid w:val="00765F1E"/>
    <w:rsid w:val="00772D91"/>
    <w:rsid w:val="0077613C"/>
    <w:rsid w:val="00784013"/>
    <w:rsid w:val="007878DC"/>
    <w:rsid w:val="00790BDA"/>
    <w:rsid w:val="007935D1"/>
    <w:rsid w:val="007A667E"/>
    <w:rsid w:val="007C689C"/>
    <w:rsid w:val="007D5F43"/>
    <w:rsid w:val="007E75C4"/>
    <w:rsid w:val="007F17C4"/>
    <w:rsid w:val="007F4676"/>
    <w:rsid w:val="0081165C"/>
    <w:rsid w:val="00823BFD"/>
    <w:rsid w:val="00830771"/>
    <w:rsid w:val="008426BD"/>
    <w:rsid w:val="008428D4"/>
    <w:rsid w:val="00854408"/>
    <w:rsid w:val="0085449C"/>
    <w:rsid w:val="00865AFE"/>
    <w:rsid w:val="0086776E"/>
    <w:rsid w:val="008807D8"/>
    <w:rsid w:val="00881BE4"/>
    <w:rsid w:val="008B32A0"/>
    <w:rsid w:val="008C537D"/>
    <w:rsid w:val="008D4998"/>
    <w:rsid w:val="008E1920"/>
    <w:rsid w:val="008F5413"/>
    <w:rsid w:val="00910A7D"/>
    <w:rsid w:val="00924883"/>
    <w:rsid w:val="00930C94"/>
    <w:rsid w:val="00930E8D"/>
    <w:rsid w:val="00931293"/>
    <w:rsid w:val="00932887"/>
    <w:rsid w:val="00935A7C"/>
    <w:rsid w:val="00935A85"/>
    <w:rsid w:val="00944247"/>
    <w:rsid w:val="00945F3E"/>
    <w:rsid w:val="00946F39"/>
    <w:rsid w:val="009606F1"/>
    <w:rsid w:val="00981545"/>
    <w:rsid w:val="009823AF"/>
    <w:rsid w:val="00982577"/>
    <w:rsid w:val="009866A5"/>
    <w:rsid w:val="0099105C"/>
    <w:rsid w:val="00992EB0"/>
    <w:rsid w:val="00997DF0"/>
    <w:rsid w:val="009A27FA"/>
    <w:rsid w:val="009A3569"/>
    <w:rsid w:val="009B2F62"/>
    <w:rsid w:val="009B690B"/>
    <w:rsid w:val="009B6D06"/>
    <w:rsid w:val="00A0724E"/>
    <w:rsid w:val="00A3366B"/>
    <w:rsid w:val="00A360A0"/>
    <w:rsid w:val="00A40464"/>
    <w:rsid w:val="00A41D33"/>
    <w:rsid w:val="00A5795D"/>
    <w:rsid w:val="00A7390F"/>
    <w:rsid w:val="00A75FAC"/>
    <w:rsid w:val="00A83452"/>
    <w:rsid w:val="00A92676"/>
    <w:rsid w:val="00A9332B"/>
    <w:rsid w:val="00A95111"/>
    <w:rsid w:val="00AA40BF"/>
    <w:rsid w:val="00AC5EE2"/>
    <w:rsid w:val="00AD5164"/>
    <w:rsid w:val="00AD75C5"/>
    <w:rsid w:val="00AE2E13"/>
    <w:rsid w:val="00AF4B6C"/>
    <w:rsid w:val="00AF6085"/>
    <w:rsid w:val="00AF7075"/>
    <w:rsid w:val="00B0055D"/>
    <w:rsid w:val="00B13544"/>
    <w:rsid w:val="00B136DA"/>
    <w:rsid w:val="00B215BC"/>
    <w:rsid w:val="00B27E46"/>
    <w:rsid w:val="00B305C4"/>
    <w:rsid w:val="00B31195"/>
    <w:rsid w:val="00B54E12"/>
    <w:rsid w:val="00B60FCA"/>
    <w:rsid w:val="00B61002"/>
    <w:rsid w:val="00B70485"/>
    <w:rsid w:val="00B82659"/>
    <w:rsid w:val="00BA5CE0"/>
    <w:rsid w:val="00BB6DA3"/>
    <w:rsid w:val="00BD1CEC"/>
    <w:rsid w:val="00BE6332"/>
    <w:rsid w:val="00BF7F97"/>
    <w:rsid w:val="00C1179A"/>
    <w:rsid w:val="00C2190A"/>
    <w:rsid w:val="00C23690"/>
    <w:rsid w:val="00C30646"/>
    <w:rsid w:val="00C35B6C"/>
    <w:rsid w:val="00C414A1"/>
    <w:rsid w:val="00C71283"/>
    <w:rsid w:val="00C751CC"/>
    <w:rsid w:val="00C906A1"/>
    <w:rsid w:val="00C93E41"/>
    <w:rsid w:val="00C95053"/>
    <w:rsid w:val="00CA3A0D"/>
    <w:rsid w:val="00CB164B"/>
    <w:rsid w:val="00CD71A4"/>
    <w:rsid w:val="00CD7B2D"/>
    <w:rsid w:val="00CE0FF4"/>
    <w:rsid w:val="00CE665B"/>
    <w:rsid w:val="00CE79AC"/>
    <w:rsid w:val="00CF4458"/>
    <w:rsid w:val="00D01112"/>
    <w:rsid w:val="00D0182D"/>
    <w:rsid w:val="00D31991"/>
    <w:rsid w:val="00D31A22"/>
    <w:rsid w:val="00D36472"/>
    <w:rsid w:val="00D462F4"/>
    <w:rsid w:val="00D51938"/>
    <w:rsid w:val="00D52978"/>
    <w:rsid w:val="00D6038F"/>
    <w:rsid w:val="00D70467"/>
    <w:rsid w:val="00D7408C"/>
    <w:rsid w:val="00D77266"/>
    <w:rsid w:val="00D913F7"/>
    <w:rsid w:val="00D915C9"/>
    <w:rsid w:val="00D954E0"/>
    <w:rsid w:val="00DA6742"/>
    <w:rsid w:val="00DA77DF"/>
    <w:rsid w:val="00DB3F4E"/>
    <w:rsid w:val="00DC0346"/>
    <w:rsid w:val="00DC3E29"/>
    <w:rsid w:val="00DD493D"/>
    <w:rsid w:val="00E039D9"/>
    <w:rsid w:val="00E156C3"/>
    <w:rsid w:val="00E16C84"/>
    <w:rsid w:val="00E178C7"/>
    <w:rsid w:val="00E240DD"/>
    <w:rsid w:val="00E32D37"/>
    <w:rsid w:val="00E334F6"/>
    <w:rsid w:val="00E45CE4"/>
    <w:rsid w:val="00E50A04"/>
    <w:rsid w:val="00E50C50"/>
    <w:rsid w:val="00E55AE8"/>
    <w:rsid w:val="00E63A1F"/>
    <w:rsid w:val="00E74ECB"/>
    <w:rsid w:val="00E96242"/>
    <w:rsid w:val="00EA35F1"/>
    <w:rsid w:val="00EA69C9"/>
    <w:rsid w:val="00EC2942"/>
    <w:rsid w:val="00EC420B"/>
    <w:rsid w:val="00EC751C"/>
    <w:rsid w:val="00ED03DB"/>
    <w:rsid w:val="00ED188A"/>
    <w:rsid w:val="00ED2CBB"/>
    <w:rsid w:val="00ED5BB2"/>
    <w:rsid w:val="00EE14DA"/>
    <w:rsid w:val="00EE6D07"/>
    <w:rsid w:val="00F02E03"/>
    <w:rsid w:val="00F05587"/>
    <w:rsid w:val="00F163B7"/>
    <w:rsid w:val="00F215BE"/>
    <w:rsid w:val="00F265FF"/>
    <w:rsid w:val="00F26A94"/>
    <w:rsid w:val="00F316CF"/>
    <w:rsid w:val="00F47BC9"/>
    <w:rsid w:val="00F65151"/>
    <w:rsid w:val="00F70BC4"/>
    <w:rsid w:val="00F71257"/>
    <w:rsid w:val="00F7251B"/>
    <w:rsid w:val="00F74AC8"/>
    <w:rsid w:val="00F76F03"/>
    <w:rsid w:val="00F94961"/>
    <w:rsid w:val="00FB7ED6"/>
    <w:rsid w:val="00FC670D"/>
    <w:rsid w:val="00FC6F92"/>
    <w:rsid w:val="00FC7A0F"/>
    <w:rsid w:val="00FD185B"/>
    <w:rsid w:val="00FD334F"/>
    <w:rsid w:val="00FF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1A17E-BB8C-4D64-924B-C7011F27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62"/>
    <w:rPr>
      <w:sz w:val="24"/>
      <w:szCs w:val="24"/>
      <w:lang w:val="hr-BA" w:eastAsia="en-US"/>
    </w:rPr>
  </w:style>
  <w:style w:type="paragraph" w:styleId="Heading2">
    <w:name w:val="heading 2"/>
    <w:basedOn w:val="Normal"/>
    <w:next w:val="Normal"/>
    <w:qFormat/>
    <w:rsid w:val="004637DE"/>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37DE"/>
    <w:pPr>
      <w:tabs>
        <w:tab w:val="left" w:pos="540"/>
      </w:tabs>
    </w:pPr>
    <w:rPr>
      <w:sz w:val="22"/>
    </w:rPr>
  </w:style>
  <w:style w:type="paragraph" w:styleId="BodyTextIndent">
    <w:name w:val="Body Text Indent"/>
    <w:basedOn w:val="Normal"/>
    <w:rsid w:val="004637DE"/>
    <w:pPr>
      <w:tabs>
        <w:tab w:val="left" w:pos="0"/>
      </w:tabs>
      <w:ind w:firstLine="540"/>
    </w:pPr>
    <w:rPr>
      <w:sz w:val="22"/>
    </w:rPr>
  </w:style>
  <w:style w:type="paragraph" w:styleId="BodyText2">
    <w:name w:val="Body Text 2"/>
    <w:basedOn w:val="Normal"/>
    <w:rsid w:val="004637DE"/>
    <w:pPr>
      <w:tabs>
        <w:tab w:val="left" w:pos="540"/>
      </w:tabs>
      <w:jc w:val="both"/>
    </w:pPr>
    <w:rPr>
      <w:sz w:val="22"/>
    </w:rPr>
  </w:style>
  <w:style w:type="paragraph" w:styleId="BodyText3">
    <w:name w:val="Body Text 3"/>
    <w:basedOn w:val="Normal"/>
    <w:rsid w:val="004637DE"/>
    <w:pPr>
      <w:jc w:val="both"/>
    </w:pPr>
    <w:rPr>
      <w:sz w:val="20"/>
    </w:rPr>
  </w:style>
  <w:style w:type="paragraph" w:customStyle="1" w:styleId="T-98-2">
    <w:name w:val="T-9/8-2"/>
    <w:basedOn w:val="Normal"/>
    <w:rsid w:val="004637DE"/>
    <w:pPr>
      <w:widowControl w:val="0"/>
      <w:tabs>
        <w:tab w:val="left" w:pos="2153"/>
      </w:tabs>
      <w:autoSpaceDE w:val="0"/>
      <w:autoSpaceDN w:val="0"/>
      <w:adjustRightInd w:val="0"/>
      <w:spacing w:after="43"/>
      <w:ind w:firstLine="342"/>
      <w:jc w:val="both"/>
    </w:pPr>
    <w:rPr>
      <w:rFonts w:ascii="Times-NewRoman" w:hAnsi="Times-NewRoman"/>
      <w:sz w:val="19"/>
      <w:szCs w:val="19"/>
      <w:lang w:val="hr-HR" w:eastAsia="hr-HR"/>
    </w:rPr>
  </w:style>
  <w:style w:type="paragraph" w:styleId="NormalWeb">
    <w:name w:val="Normal (Web)"/>
    <w:basedOn w:val="Normal"/>
    <w:rsid w:val="00FD185B"/>
    <w:pPr>
      <w:spacing w:before="100" w:beforeAutospacing="1" w:after="100" w:afterAutospacing="1"/>
    </w:pPr>
    <w:rPr>
      <w:lang w:val="en-US"/>
    </w:rPr>
  </w:style>
  <w:style w:type="paragraph" w:styleId="NoSpacing">
    <w:name w:val="No Spacing"/>
    <w:link w:val="NoSpacingChar"/>
    <w:uiPriority w:val="1"/>
    <w:qFormat/>
    <w:rsid w:val="00DA77DF"/>
    <w:rPr>
      <w:sz w:val="24"/>
      <w:szCs w:val="24"/>
      <w:lang w:val="hr-BA" w:eastAsia="en-US"/>
    </w:rPr>
  </w:style>
  <w:style w:type="table" w:styleId="TableGrid">
    <w:name w:val="Table Grid"/>
    <w:basedOn w:val="TableNormal"/>
    <w:uiPriority w:val="59"/>
    <w:rsid w:val="00AE2E1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77266"/>
    <w:rPr>
      <w:rFonts w:ascii="Tahoma" w:hAnsi="Tahoma" w:cs="Tahoma"/>
      <w:sz w:val="16"/>
      <w:szCs w:val="16"/>
    </w:rPr>
  </w:style>
  <w:style w:type="character" w:customStyle="1" w:styleId="BalloonTextChar">
    <w:name w:val="Balloon Text Char"/>
    <w:link w:val="BalloonText"/>
    <w:rsid w:val="00D77266"/>
    <w:rPr>
      <w:rFonts w:ascii="Tahoma" w:hAnsi="Tahoma" w:cs="Tahoma"/>
      <w:sz w:val="16"/>
      <w:szCs w:val="16"/>
      <w:lang w:val="hr-BA"/>
    </w:rPr>
  </w:style>
  <w:style w:type="paragraph" w:styleId="Header">
    <w:name w:val="header"/>
    <w:basedOn w:val="Normal"/>
    <w:link w:val="HeaderChar"/>
    <w:unhideWhenUsed/>
    <w:rsid w:val="00CD71A4"/>
    <w:pPr>
      <w:tabs>
        <w:tab w:val="center" w:pos="4536"/>
        <w:tab w:val="right" w:pos="9072"/>
      </w:tabs>
    </w:pPr>
    <w:rPr>
      <w:lang w:val="en-GB"/>
    </w:rPr>
  </w:style>
  <w:style w:type="character" w:customStyle="1" w:styleId="HeaderChar">
    <w:name w:val="Header Char"/>
    <w:link w:val="Header"/>
    <w:rsid w:val="00CD71A4"/>
    <w:rPr>
      <w:sz w:val="24"/>
      <w:szCs w:val="24"/>
      <w:lang w:val="en-GB"/>
    </w:rPr>
  </w:style>
  <w:style w:type="character" w:customStyle="1" w:styleId="NoSpacingChar">
    <w:name w:val="No Spacing Char"/>
    <w:link w:val="NoSpacing"/>
    <w:uiPriority w:val="1"/>
    <w:locked/>
    <w:rsid w:val="00CA3A0D"/>
    <w:rPr>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92175">
      <w:bodyDiv w:val="1"/>
      <w:marLeft w:val="0"/>
      <w:marRight w:val="0"/>
      <w:marTop w:val="0"/>
      <w:marBottom w:val="0"/>
      <w:divBdr>
        <w:top w:val="none" w:sz="0" w:space="0" w:color="auto"/>
        <w:left w:val="none" w:sz="0" w:space="0" w:color="auto"/>
        <w:bottom w:val="none" w:sz="0" w:space="0" w:color="auto"/>
        <w:right w:val="none" w:sz="0" w:space="0" w:color="auto"/>
      </w:divBdr>
    </w:div>
    <w:div w:id="705182534">
      <w:bodyDiv w:val="1"/>
      <w:marLeft w:val="0"/>
      <w:marRight w:val="0"/>
      <w:marTop w:val="0"/>
      <w:marBottom w:val="0"/>
      <w:divBdr>
        <w:top w:val="none" w:sz="0" w:space="0" w:color="auto"/>
        <w:left w:val="none" w:sz="0" w:space="0" w:color="auto"/>
        <w:bottom w:val="none" w:sz="0" w:space="0" w:color="auto"/>
        <w:right w:val="none" w:sz="0" w:space="0" w:color="auto"/>
      </w:divBdr>
    </w:div>
    <w:div w:id="719285966">
      <w:bodyDiv w:val="1"/>
      <w:marLeft w:val="0"/>
      <w:marRight w:val="0"/>
      <w:marTop w:val="0"/>
      <w:marBottom w:val="0"/>
      <w:divBdr>
        <w:top w:val="none" w:sz="0" w:space="0" w:color="auto"/>
        <w:left w:val="none" w:sz="0" w:space="0" w:color="auto"/>
        <w:bottom w:val="none" w:sz="0" w:space="0" w:color="auto"/>
        <w:right w:val="none" w:sz="0" w:space="0" w:color="auto"/>
      </w:divBdr>
    </w:div>
    <w:div w:id="11536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Id xmlns="935bdee9-67a2-4c5c-811c-2bd28c5afb2e">605557</PredmetId>
    <AktId xmlns="935bdee9-67a2-4c5c-811c-2bd28c5afb2e">1124081</Ak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EFDB4DC89EB94CB2F41F1EEF24BED1" ma:contentTypeVersion="2" ma:contentTypeDescription="Create a new document." ma:contentTypeScope="" ma:versionID="df674cb50b48d1dacf8a3293fc791f7b">
  <xsd:schema xmlns:xsd="http://www.w3.org/2001/XMLSchema" xmlns:xs="http://www.w3.org/2001/XMLSchema" xmlns:p="http://schemas.microsoft.com/office/2006/metadata/properties" xmlns:ns2="935bdee9-67a2-4c5c-811c-2bd28c5afb2e" targetNamespace="http://schemas.microsoft.com/office/2006/metadata/properties" ma:root="true" ma:fieldsID="b29abab6558be060ab3b6dd933ea65c0" ns2:_="">
    <xsd:import namespace="935bdee9-67a2-4c5c-811c-2bd28c5afb2e"/>
    <xsd:element name="properties">
      <xsd:complexType>
        <xsd:sequence>
          <xsd:element name="documentManagement">
            <xsd:complexType>
              <xsd:all>
                <xsd:element ref="ns2:PredmetId" minOccurs="0"/>
                <xsd:element ref="ns2:Ak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bdee9-67a2-4c5c-811c-2bd28c5afb2e" elementFormDefault="qualified">
    <xsd:import namespace="http://schemas.microsoft.com/office/2006/documentManagement/types"/>
    <xsd:import namespace="http://schemas.microsoft.com/office/infopath/2007/PartnerControls"/>
    <xsd:element name="PredmetId" ma:index="8" nillable="true" ma:displayName="PredmetId" ma:internalName="PredmetId">
      <xsd:simpleType>
        <xsd:restriction base="dms:Text"/>
      </xsd:simpleType>
    </xsd:element>
    <xsd:element name="AktId" ma:index="9" nillable="true" ma:displayName="AktId" ma:internalName="Ak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BE05-D3CC-439B-AA51-BE3F73525AEC}">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935bdee9-67a2-4c5c-811c-2bd28c5afb2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F30D3C-02E2-4E1A-9D00-A91576D6A2B7}">
  <ds:schemaRefs>
    <ds:schemaRef ds:uri="http://schemas.microsoft.com/sharepoint/v3/contenttype/forms"/>
  </ds:schemaRefs>
</ds:datastoreItem>
</file>

<file path=customXml/itemProps3.xml><?xml version="1.0" encoding="utf-8"?>
<ds:datastoreItem xmlns:ds="http://schemas.openxmlformats.org/officeDocument/2006/customXml" ds:itemID="{2F2C0261-6792-4C4E-B0C4-1C9E7429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bdee9-67a2-4c5c-811c-2bd28c5a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187FD-93F9-40BC-97D7-DDF62673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4287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UIO</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Miljka Kutić</dc:creator>
  <cp:keywords/>
  <cp:lastModifiedBy>Belma Keran</cp:lastModifiedBy>
  <cp:revision>2</cp:revision>
  <cp:lastPrinted>2025-05-23T08:04:00Z</cp:lastPrinted>
  <dcterms:created xsi:type="dcterms:W3CDTF">2025-05-27T09:51:00Z</dcterms:created>
  <dcterms:modified xsi:type="dcterms:W3CDTF">2025-05-27T09:51:00Z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0x010100E1EFDB4DC89EB94CB2F41F1EEF24BED1</vt:lpwstr>
  </property>
</Properties>
</file>