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1201"/>
        <w:gridCol w:w="4326"/>
      </w:tblGrid>
      <w:tr w:rsidR="00436E68" w:rsidRPr="00204AF6" w:rsidTr="0026650C">
        <w:trPr>
          <w:trHeight w:val="1211"/>
          <w:jc w:val="center"/>
        </w:trPr>
        <w:tc>
          <w:tcPr>
            <w:tcW w:w="4257" w:type="dxa"/>
          </w:tcPr>
          <w:p w:rsidR="00436E68" w:rsidRPr="00204AF6" w:rsidRDefault="00436E68" w:rsidP="00436E68">
            <w:pPr>
              <w:ind w:left="-642"/>
              <w:rPr>
                <w:noProof/>
                <w:sz w:val="20"/>
                <w:szCs w:val="20"/>
                <w:lang w:val="sr-Latn-BA"/>
              </w:rPr>
            </w:pPr>
            <w:r w:rsidRPr="00204AF6">
              <w:rPr>
                <w:noProof/>
                <w:sz w:val="20"/>
                <w:szCs w:val="20"/>
                <w:lang w:val="sr-Latn-BA"/>
              </w:rPr>
              <w:t>)</w:t>
            </w:r>
          </w:p>
          <w:p w:rsidR="00436E68" w:rsidRPr="00204AF6" w:rsidRDefault="00436E68" w:rsidP="00436E68">
            <w:pPr>
              <w:ind w:left="-642"/>
              <w:jc w:val="center"/>
              <w:rPr>
                <w:noProof/>
                <w:lang w:val="sr-Latn-BA"/>
              </w:rPr>
            </w:pPr>
            <w:r w:rsidRPr="00204AF6">
              <w:rPr>
                <w:noProof/>
                <w:sz w:val="20"/>
                <w:szCs w:val="20"/>
                <w:lang w:val="sr-Latn-BA"/>
              </w:rPr>
              <w:t xml:space="preserve">       </w:t>
            </w:r>
            <w:r w:rsidRPr="00204AF6">
              <w:rPr>
                <w:noProof/>
                <w:lang w:val="sr-Latn-BA"/>
              </w:rPr>
              <w:t>Bosna i Hercegovina</w:t>
            </w:r>
          </w:p>
          <w:p w:rsidR="00436E68" w:rsidRPr="00204AF6" w:rsidRDefault="00436E68" w:rsidP="00436E68">
            <w:pPr>
              <w:ind w:left="-642"/>
              <w:jc w:val="center"/>
              <w:rPr>
                <w:noProof/>
                <w:sz w:val="20"/>
                <w:szCs w:val="20"/>
                <w:lang w:val="sr-Latn-BA"/>
              </w:rPr>
            </w:pPr>
          </w:p>
          <w:p w:rsidR="00436E68" w:rsidRPr="00204AF6" w:rsidRDefault="00436E68" w:rsidP="00436E68">
            <w:pPr>
              <w:ind w:left="-108"/>
              <w:jc w:val="center"/>
              <w:rPr>
                <w:noProof/>
                <w:sz w:val="22"/>
                <w:szCs w:val="22"/>
                <w:lang w:val="sr-Latn-BA"/>
              </w:rPr>
            </w:pPr>
            <w:r w:rsidRPr="00204AF6">
              <w:rPr>
                <w:noProof/>
                <w:sz w:val="20"/>
                <w:szCs w:val="20"/>
                <w:lang w:val="sr-Latn-BA"/>
              </w:rPr>
              <w:t xml:space="preserve"> </w:t>
            </w:r>
            <w:r w:rsidRPr="00204AF6">
              <w:rPr>
                <w:noProof/>
                <w:sz w:val="22"/>
                <w:szCs w:val="22"/>
                <w:lang w:val="sr-Latn-BA"/>
              </w:rPr>
              <w:t>Uprava za indirektno-neizravno oporezivanje</w:t>
            </w:r>
          </w:p>
          <w:p w:rsidR="00436E68" w:rsidRPr="00204AF6" w:rsidRDefault="00436E68" w:rsidP="00436E68">
            <w:pPr>
              <w:ind w:left="-642"/>
              <w:jc w:val="center"/>
              <w:rPr>
                <w:noProof/>
                <w:sz w:val="20"/>
                <w:szCs w:val="20"/>
                <w:lang w:val="sr-Latn-BA"/>
              </w:rPr>
            </w:pPr>
          </w:p>
        </w:tc>
        <w:tc>
          <w:tcPr>
            <w:tcW w:w="1201" w:type="dxa"/>
          </w:tcPr>
          <w:p w:rsidR="00436E68" w:rsidRPr="00204AF6" w:rsidRDefault="007A18A1" w:rsidP="00436E68">
            <w:pPr>
              <w:rPr>
                <w:noProof/>
                <w:sz w:val="20"/>
                <w:szCs w:val="20"/>
                <w:lang w:val="sr-Latn-BA"/>
              </w:rPr>
            </w:pPr>
            <w:r w:rsidRPr="00204AF6"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39370</wp:posOffset>
                  </wp:positionV>
                  <wp:extent cx="266065" cy="320040"/>
                  <wp:effectExtent l="0" t="0" r="0" b="0"/>
                  <wp:wrapTight wrapText="bothSides">
                    <wp:wrapPolygon edited="0">
                      <wp:start x="0" y="0"/>
                      <wp:lineTo x="0" y="15429"/>
                      <wp:lineTo x="4640" y="20571"/>
                      <wp:lineTo x="15465" y="20571"/>
                      <wp:lineTo x="20105" y="15429"/>
                      <wp:lineTo x="20105" y="0"/>
                      <wp:lineTo x="0" y="0"/>
                    </wp:wrapPolygon>
                  </wp:wrapTight>
                  <wp:docPr id="21" name="Picture 1" descr="Grb_Bos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Bos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6" w:type="dxa"/>
          </w:tcPr>
          <w:p w:rsidR="00436E68" w:rsidRPr="00204AF6" w:rsidRDefault="00436E68" w:rsidP="00436E68">
            <w:pPr>
              <w:rPr>
                <w:noProof/>
                <w:sz w:val="20"/>
                <w:szCs w:val="20"/>
                <w:lang w:val="sr-Latn-BA"/>
              </w:rPr>
            </w:pPr>
          </w:p>
          <w:p w:rsidR="00436E68" w:rsidRPr="00204AF6" w:rsidRDefault="00C06C82" w:rsidP="00436E68">
            <w:pPr>
              <w:jc w:val="center"/>
              <w:rPr>
                <w:noProof/>
                <w:lang w:val="sr-Latn-BA"/>
              </w:rPr>
            </w:pPr>
            <w:r>
              <w:rPr>
                <w:noProof/>
                <w:lang w:val="sr-Latn-BA"/>
              </w:rPr>
              <w:t xml:space="preserve">  </w:t>
            </w:r>
            <w:r w:rsidR="00436E68" w:rsidRPr="00204AF6">
              <w:rPr>
                <w:noProof/>
                <w:lang w:val="sr-Latn-BA"/>
              </w:rPr>
              <w:t>Босна и Херцеговина</w:t>
            </w:r>
          </w:p>
          <w:p w:rsidR="00436E68" w:rsidRPr="00204AF6" w:rsidRDefault="00436E68" w:rsidP="00436E68">
            <w:pPr>
              <w:jc w:val="center"/>
              <w:rPr>
                <w:noProof/>
                <w:sz w:val="20"/>
                <w:szCs w:val="20"/>
                <w:lang w:val="sr-Latn-BA"/>
              </w:rPr>
            </w:pPr>
          </w:p>
          <w:p w:rsidR="00436E68" w:rsidRPr="00204AF6" w:rsidRDefault="00436E68" w:rsidP="00436E68">
            <w:pPr>
              <w:jc w:val="center"/>
              <w:rPr>
                <w:noProof/>
                <w:sz w:val="22"/>
                <w:szCs w:val="22"/>
                <w:lang w:val="sr-Latn-BA"/>
              </w:rPr>
            </w:pPr>
            <w:r w:rsidRPr="00204AF6">
              <w:rPr>
                <w:noProof/>
                <w:sz w:val="22"/>
                <w:szCs w:val="22"/>
                <w:lang w:val="sr-Latn-BA"/>
              </w:rPr>
              <w:t>Управа за индиректно oпорезивање</w:t>
            </w:r>
          </w:p>
          <w:p w:rsidR="00436E68" w:rsidRPr="00204AF6" w:rsidRDefault="00436E68" w:rsidP="00436E68">
            <w:pPr>
              <w:rPr>
                <w:noProof/>
                <w:sz w:val="20"/>
                <w:szCs w:val="20"/>
                <w:lang w:val="sr-Latn-BA"/>
              </w:rPr>
            </w:pPr>
          </w:p>
        </w:tc>
      </w:tr>
    </w:tbl>
    <w:p w:rsidR="003A746F" w:rsidRPr="00204AF6" w:rsidRDefault="003A746F" w:rsidP="009F1577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D73C1A" w:rsidRPr="00CF673E" w:rsidRDefault="002E198D" w:rsidP="002E198D">
      <w:pPr>
        <w:pStyle w:val="NoSpacing"/>
        <w:jc w:val="right"/>
        <w:rPr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П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Р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Е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Д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Н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А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Ц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Р</w:t>
      </w:r>
      <w:r w:rsidR="00C06C82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Т</w:t>
      </w:r>
    </w:p>
    <w:p w:rsidR="00D73C1A" w:rsidRPr="00CF673E" w:rsidRDefault="00D73C1A" w:rsidP="009F1577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6031B3" w:rsidRPr="00CF673E" w:rsidRDefault="0026650C" w:rsidP="009F1577">
      <w:pPr>
        <w:pStyle w:val="NoSpacing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На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основу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7D2038" w:rsidRPr="00CF673E">
        <w:rPr>
          <w:noProof/>
          <w:sz w:val="22"/>
          <w:szCs w:val="22"/>
          <w:lang w:val="sr-Latn-BA"/>
        </w:rPr>
        <w:t xml:space="preserve"> 49</w:t>
      </w:r>
      <w:r w:rsidR="006031B3" w:rsidRPr="00CF673E">
        <w:rPr>
          <w:noProof/>
          <w:sz w:val="22"/>
          <w:szCs w:val="22"/>
          <w:lang w:val="sr-Latn-BA"/>
        </w:rPr>
        <w:t xml:space="preserve">. </w:t>
      </w:r>
      <w:r w:rsidRPr="00CF673E">
        <w:rPr>
          <w:noProof/>
          <w:sz w:val="22"/>
          <w:szCs w:val="22"/>
          <w:lang w:val="sr-Latn-BA"/>
        </w:rPr>
        <w:t>Закона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царинској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политици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7D203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Босни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Херцеговини</w:t>
      </w:r>
      <w:r w:rsidR="006031B3" w:rsidRPr="00CF673E">
        <w:rPr>
          <w:noProof/>
          <w:sz w:val="22"/>
          <w:szCs w:val="22"/>
          <w:lang w:val="sr-Latn-BA"/>
        </w:rPr>
        <w:t xml:space="preserve"> (''</w:t>
      </w:r>
      <w:r w:rsidRPr="00CF673E">
        <w:rPr>
          <w:noProof/>
          <w:sz w:val="22"/>
          <w:szCs w:val="22"/>
          <w:lang w:val="sr-Latn-BA"/>
        </w:rPr>
        <w:t>Службени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гласник</w:t>
      </w:r>
      <w:r w:rsidR="006031B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БиХ</w:t>
      </w:r>
      <w:r w:rsidR="006031B3" w:rsidRPr="00CF673E">
        <w:rPr>
          <w:noProof/>
          <w:sz w:val="22"/>
          <w:szCs w:val="22"/>
          <w:lang w:val="sr-Latn-BA"/>
        </w:rPr>
        <w:t xml:space="preserve">'', </w:t>
      </w:r>
      <w:r w:rsidRPr="00CF673E">
        <w:rPr>
          <w:noProof/>
          <w:sz w:val="22"/>
          <w:szCs w:val="22"/>
          <w:lang w:val="sr-Latn-BA"/>
        </w:rPr>
        <w:t>број</w:t>
      </w:r>
      <w:r w:rsidR="00C96BE8" w:rsidRPr="00CF673E">
        <w:rPr>
          <w:noProof/>
          <w:sz w:val="22"/>
          <w:szCs w:val="22"/>
          <w:lang w:val="sr-Latn-BA"/>
        </w:rPr>
        <w:t xml:space="preserve"> 58/15</w:t>
      </w:r>
      <w:r w:rsidR="006031B3" w:rsidRPr="00CF673E">
        <w:rPr>
          <w:noProof/>
          <w:sz w:val="22"/>
          <w:szCs w:val="22"/>
          <w:lang w:val="sr-Latn-BA"/>
        </w:rPr>
        <w:t xml:space="preserve">), </w:t>
      </w:r>
      <w:r w:rsidRPr="00CF673E">
        <w:rPr>
          <w:noProof/>
          <w:sz w:val="22"/>
          <w:szCs w:val="22"/>
          <w:lang w:val="sr-Latn-BA"/>
        </w:rPr>
        <w:t>члана</w:t>
      </w:r>
      <w:r w:rsidR="00B24951" w:rsidRPr="00CF673E">
        <w:rPr>
          <w:noProof/>
          <w:sz w:val="22"/>
          <w:szCs w:val="22"/>
          <w:lang w:val="sr-Latn-BA"/>
        </w:rPr>
        <w:t xml:space="preserve"> 8. </w:t>
      </w:r>
      <w:r w:rsidRPr="00CF673E">
        <w:rPr>
          <w:noProof/>
          <w:sz w:val="22"/>
          <w:szCs w:val="22"/>
          <w:lang w:val="sr-Latn-BA"/>
        </w:rPr>
        <w:t>став</w:t>
      </w:r>
      <w:r w:rsidR="00B24951" w:rsidRPr="00CF673E">
        <w:rPr>
          <w:noProof/>
          <w:sz w:val="22"/>
          <w:szCs w:val="22"/>
          <w:lang w:val="sr-Latn-BA"/>
        </w:rPr>
        <w:t xml:space="preserve"> 1. </w:t>
      </w:r>
      <w:r w:rsidRPr="00CF673E">
        <w:rPr>
          <w:noProof/>
          <w:sz w:val="22"/>
          <w:szCs w:val="22"/>
          <w:lang w:val="sr-Latn-BA"/>
        </w:rPr>
        <w:t>Закона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систему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индиректног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опорезивања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E4284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Босни</w:t>
      </w:r>
      <w:r w:rsidR="00E4284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E4284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Херцеговини</w:t>
      </w:r>
      <w:r w:rsidR="00B24951" w:rsidRPr="00CF673E">
        <w:rPr>
          <w:noProof/>
          <w:sz w:val="22"/>
          <w:szCs w:val="22"/>
          <w:lang w:val="sr-Latn-BA"/>
        </w:rPr>
        <w:t xml:space="preserve"> (''</w:t>
      </w:r>
      <w:r w:rsidRPr="00CF673E">
        <w:rPr>
          <w:noProof/>
          <w:sz w:val="22"/>
          <w:szCs w:val="22"/>
          <w:lang w:val="sr-Latn-BA"/>
        </w:rPr>
        <w:t>Службени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гласник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БиХ</w:t>
      </w:r>
      <w:r w:rsidR="00B24951" w:rsidRPr="00CF673E">
        <w:rPr>
          <w:noProof/>
          <w:sz w:val="22"/>
          <w:szCs w:val="22"/>
          <w:lang w:val="sr-Latn-BA"/>
        </w:rPr>
        <w:t>''</w:t>
      </w:r>
      <w:r w:rsidR="007C0458" w:rsidRPr="00CF673E">
        <w:rPr>
          <w:noProof/>
          <w:sz w:val="22"/>
          <w:szCs w:val="22"/>
          <w:lang w:val="sr-Latn-BA"/>
        </w:rPr>
        <w:t>,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бр</w:t>
      </w:r>
      <w:r w:rsidR="00E42843" w:rsidRPr="00CF673E">
        <w:rPr>
          <w:noProof/>
          <w:sz w:val="22"/>
          <w:szCs w:val="22"/>
          <w:lang w:val="sr-Latn-BA"/>
        </w:rPr>
        <w:t>.</w:t>
      </w:r>
      <w:r w:rsidR="00B903ED" w:rsidRPr="00CF673E">
        <w:rPr>
          <w:noProof/>
          <w:sz w:val="22"/>
          <w:szCs w:val="22"/>
          <w:lang w:val="sr-Latn-BA"/>
        </w:rPr>
        <w:t xml:space="preserve"> 44/03, 52/04, 34/07, 4/08, 49/09, 32/13</w:t>
      </w:r>
      <w:r w:rsidR="001E0E3E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B903ED" w:rsidRPr="00CF673E">
        <w:rPr>
          <w:noProof/>
          <w:sz w:val="22"/>
          <w:szCs w:val="22"/>
          <w:lang w:val="sr-Latn-BA"/>
        </w:rPr>
        <w:t xml:space="preserve"> 91/17</w:t>
      </w:r>
      <w:r w:rsidR="00B24951" w:rsidRPr="00CF673E">
        <w:rPr>
          <w:noProof/>
          <w:sz w:val="22"/>
          <w:szCs w:val="22"/>
          <w:lang w:val="sr-Latn-BA"/>
        </w:rPr>
        <w:t>)</w:t>
      </w:r>
      <w:r w:rsidR="009F1577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члана</w:t>
      </w:r>
      <w:r w:rsidR="00B24951" w:rsidRPr="00CF673E">
        <w:rPr>
          <w:noProof/>
          <w:sz w:val="22"/>
          <w:szCs w:val="22"/>
          <w:lang w:val="sr-Latn-BA"/>
        </w:rPr>
        <w:t xml:space="preserve"> 15. </w:t>
      </w:r>
      <w:r w:rsidRPr="00CF673E">
        <w:rPr>
          <w:noProof/>
          <w:sz w:val="22"/>
          <w:szCs w:val="22"/>
          <w:lang w:val="sr-Latn-BA"/>
        </w:rPr>
        <w:t>Закона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Управи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индиректно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опорезивање</w:t>
      </w:r>
      <w:r w:rsidR="00B24951" w:rsidRPr="00CF673E">
        <w:rPr>
          <w:noProof/>
          <w:sz w:val="22"/>
          <w:szCs w:val="22"/>
          <w:lang w:val="sr-Latn-BA"/>
        </w:rPr>
        <w:t xml:space="preserve"> (''</w:t>
      </w:r>
      <w:r w:rsidRPr="00CF673E">
        <w:rPr>
          <w:noProof/>
          <w:sz w:val="22"/>
          <w:szCs w:val="22"/>
          <w:lang w:val="sr-Latn-BA"/>
        </w:rPr>
        <w:t>Службени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гласник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БиХ</w:t>
      </w:r>
      <w:r w:rsidR="00B24951" w:rsidRPr="00CF673E">
        <w:rPr>
          <w:noProof/>
          <w:sz w:val="22"/>
          <w:szCs w:val="22"/>
          <w:lang w:val="sr-Latn-BA"/>
        </w:rPr>
        <w:t>''</w:t>
      </w:r>
      <w:r w:rsidR="007C0458" w:rsidRPr="00CF673E">
        <w:rPr>
          <w:noProof/>
          <w:sz w:val="22"/>
          <w:szCs w:val="22"/>
          <w:lang w:val="sr-Latn-BA"/>
        </w:rPr>
        <w:t>,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број</w:t>
      </w:r>
      <w:r w:rsidR="00B24951" w:rsidRPr="00CF673E">
        <w:rPr>
          <w:noProof/>
          <w:sz w:val="22"/>
          <w:szCs w:val="22"/>
          <w:lang w:val="sr-Latn-BA"/>
        </w:rPr>
        <w:t xml:space="preserve"> 89/05)</w:t>
      </w:r>
      <w:r w:rsidR="009F157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9F157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члана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61. </w:t>
      </w:r>
      <w:r w:rsidRPr="00CF673E">
        <w:rPr>
          <w:noProof/>
          <w:color w:val="000000"/>
          <w:sz w:val="22"/>
          <w:szCs w:val="22"/>
          <w:lang w:val="sr-Latn-BA"/>
        </w:rPr>
        <w:t>став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(2) </w:t>
      </w:r>
      <w:r w:rsidRPr="00CF673E">
        <w:rPr>
          <w:noProof/>
          <w:color w:val="000000"/>
          <w:sz w:val="22"/>
          <w:szCs w:val="22"/>
          <w:lang w:val="sr-Latn-BA"/>
        </w:rPr>
        <w:t>Закона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о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управи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("</w:t>
      </w:r>
      <w:r w:rsidRPr="00CF673E">
        <w:rPr>
          <w:noProof/>
          <w:color w:val="000000"/>
          <w:sz w:val="22"/>
          <w:szCs w:val="22"/>
          <w:lang w:val="sr-Latn-BA"/>
        </w:rPr>
        <w:t>Службени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гласник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БиХ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", </w:t>
      </w:r>
      <w:r w:rsidRPr="00CF673E">
        <w:rPr>
          <w:noProof/>
          <w:color w:val="000000"/>
          <w:sz w:val="22"/>
          <w:szCs w:val="22"/>
          <w:lang w:val="sr-Latn-BA"/>
        </w:rPr>
        <w:t>бр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. 32/02, 102/09 </w:t>
      </w:r>
      <w:r w:rsidRPr="00CF673E">
        <w:rPr>
          <w:noProof/>
          <w:color w:val="000000"/>
          <w:sz w:val="22"/>
          <w:szCs w:val="22"/>
          <w:lang w:val="sr-Latn-BA"/>
        </w:rPr>
        <w:t>и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72/17), </w:t>
      </w:r>
      <w:r w:rsidRPr="00CF673E">
        <w:rPr>
          <w:noProof/>
          <w:color w:val="000000"/>
          <w:sz w:val="22"/>
          <w:szCs w:val="22"/>
          <w:lang w:val="sr-Latn-BA"/>
        </w:rPr>
        <w:t>директор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Управе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за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индиректно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опорезивање</w:t>
      </w:r>
      <w:r w:rsidR="009F1577" w:rsidRPr="00CF673E">
        <w:rPr>
          <w:noProof/>
          <w:color w:val="000000"/>
          <w:sz w:val="22"/>
          <w:szCs w:val="22"/>
          <w:lang w:val="sr-Latn-BA"/>
        </w:rPr>
        <w:t xml:space="preserve"> </w:t>
      </w:r>
      <w:r w:rsidRPr="00CF673E">
        <w:rPr>
          <w:noProof/>
          <w:color w:val="000000"/>
          <w:sz w:val="22"/>
          <w:szCs w:val="22"/>
          <w:lang w:val="sr-Latn-BA"/>
        </w:rPr>
        <w:t>доноси</w:t>
      </w:r>
      <w:r w:rsidR="009F1577" w:rsidRPr="00CF673E">
        <w:rPr>
          <w:noProof/>
          <w:sz w:val="22"/>
          <w:szCs w:val="22"/>
          <w:lang w:val="sr-Latn-BA"/>
        </w:rPr>
        <w:t xml:space="preserve"> </w:t>
      </w:r>
    </w:p>
    <w:p w:rsidR="00B24951" w:rsidRPr="00CF673E" w:rsidRDefault="00B24951" w:rsidP="007D5988">
      <w:pPr>
        <w:pStyle w:val="NoSpacing"/>
        <w:rPr>
          <w:b/>
          <w:bCs/>
          <w:noProof/>
          <w:sz w:val="22"/>
          <w:szCs w:val="22"/>
          <w:lang w:val="sr-Latn-BA"/>
        </w:rPr>
      </w:pPr>
    </w:p>
    <w:p w:rsidR="002750A9" w:rsidRPr="00CF673E" w:rsidRDefault="002750A9" w:rsidP="009F1577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B24951" w:rsidRPr="00CF673E" w:rsidRDefault="0026650C" w:rsidP="009F1577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О</w:t>
      </w:r>
      <w:r w:rsidR="007D53A6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Д</w:t>
      </w:r>
      <w:r w:rsidR="007D53A6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Л</w:t>
      </w:r>
      <w:r w:rsidR="007D53A6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У</w:t>
      </w:r>
      <w:r w:rsidR="007D53A6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К</w:t>
      </w:r>
      <w:r w:rsidR="007D53A6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У</w:t>
      </w:r>
    </w:p>
    <w:p w:rsidR="009F1577" w:rsidRPr="00CF673E" w:rsidRDefault="009F1577" w:rsidP="009F1577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9F1577" w:rsidRPr="00CF673E" w:rsidRDefault="0026650C" w:rsidP="009F1577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О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ПОСЕБНИМ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СЛУЧАЈЕВИМА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У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КОЈИМА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СЕ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</w:p>
    <w:p w:rsidR="009F1577" w:rsidRPr="00CF673E" w:rsidRDefault="0026650C" w:rsidP="009F1577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НЕ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ПОДНОСИ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ПРОВОЗНА</w:t>
      </w:r>
      <w:r w:rsidR="00A918F3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ЦАРИНСКА</w:t>
      </w:r>
      <w:r w:rsidR="009F1577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ДЕКЛАРАЦИЈА</w:t>
      </w:r>
    </w:p>
    <w:p w:rsidR="0085418B" w:rsidRPr="00CF673E" w:rsidRDefault="0085418B" w:rsidP="007D5988">
      <w:pPr>
        <w:pStyle w:val="NoSpacing"/>
        <w:rPr>
          <w:noProof/>
          <w:sz w:val="22"/>
          <w:szCs w:val="22"/>
          <w:lang w:val="sr-Latn-BA"/>
        </w:rPr>
      </w:pPr>
    </w:p>
    <w:p w:rsidR="002750A9" w:rsidRPr="00CF673E" w:rsidRDefault="002750A9" w:rsidP="007D5988">
      <w:pPr>
        <w:pStyle w:val="NoSpacing"/>
        <w:rPr>
          <w:noProof/>
          <w:sz w:val="22"/>
          <w:szCs w:val="22"/>
          <w:lang w:val="sr-Latn-BA"/>
        </w:rPr>
      </w:pPr>
    </w:p>
    <w:p w:rsidR="00147DA2" w:rsidRPr="00CF673E" w:rsidRDefault="0026650C" w:rsidP="003D3607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Члан</w:t>
      </w:r>
      <w:r w:rsidR="001F1FB5" w:rsidRPr="00CF673E">
        <w:rPr>
          <w:b/>
          <w:noProof/>
          <w:sz w:val="22"/>
          <w:szCs w:val="22"/>
          <w:lang w:val="sr-Latn-BA"/>
        </w:rPr>
        <w:t xml:space="preserve"> 1.</w:t>
      </w:r>
    </w:p>
    <w:p w:rsidR="00D73C1A" w:rsidRPr="00CF673E" w:rsidRDefault="00D73C1A" w:rsidP="003D3607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(</w:t>
      </w:r>
      <w:r w:rsidR="0026650C" w:rsidRPr="00CF673E">
        <w:rPr>
          <w:b/>
          <w:noProof/>
          <w:sz w:val="22"/>
          <w:szCs w:val="22"/>
          <w:lang w:val="sr-Latn-BA"/>
        </w:rPr>
        <w:t>Предмет</w:t>
      </w:r>
      <w:r w:rsidRPr="00CF673E">
        <w:rPr>
          <w:b/>
          <w:noProof/>
          <w:sz w:val="22"/>
          <w:szCs w:val="22"/>
          <w:lang w:val="sr-Latn-BA"/>
        </w:rPr>
        <w:t>)</w:t>
      </w:r>
    </w:p>
    <w:p w:rsidR="00B24951" w:rsidRPr="00CF673E" w:rsidRDefault="00B24951" w:rsidP="003D3607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85418B" w:rsidRPr="00CF673E" w:rsidRDefault="0026650C" w:rsidP="003D3607">
      <w:pPr>
        <w:pStyle w:val="NoSpacing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Овом</w:t>
      </w:r>
      <w:r w:rsidR="00B2495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одлуком</w:t>
      </w:r>
      <w:r w:rsidR="007D53A6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одређују</w:t>
      </w:r>
      <w:r w:rsidR="003A2D7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3A2D7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посебни</w:t>
      </w:r>
      <w:r w:rsidR="003A2D7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случајеви</w:t>
      </w:r>
      <w:r w:rsidR="0085418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85418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којима</w:t>
      </w:r>
      <w:r w:rsidR="00631AA9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631AA9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</w:t>
      </w:r>
      <w:r w:rsidR="00631AA9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подноси</w:t>
      </w:r>
      <w:r w:rsidR="00631AA9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631AA9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декларација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85418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поступак</w:t>
      </w:r>
      <w:r w:rsidR="0085418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="00663C71" w:rsidRPr="00CF673E">
        <w:rPr>
          <w:noProof/>
          <w:sz w:val="22"/>
          <w:szCs w:val="22"/>
        </w:rPr>
        <w:t>уз употребу новог комјутеризованог провозног система (</w:t>
      </w:r>
      <w:r w:rsidR="007039E9">
        <w:rPr>
          <w:noProof/>
          <w:sz w:val="22"/>
          <w:szCs w:val="22"/>
          <w:lang w:val="sr-Latn-BA"/>
        </w:rPr>
        <w:t>NCTS</w:t>
      </w:r>
      <w:r w:rsidR="00663C71" w:rsidRPr="00CF673E">
        <w:rPr>
          <w:noProof/>
          <w:sz w:val="22"/>
          <w:szCs w:val="22"/>
        </w:rPr>
        <w:t>)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="00A918F3" w:rsidRPr="00CF673E">
        <w:rPr>
          <w:noProof/>
          <w:sz w:val="22"/>
          <w:szCs w:val="22"/>
          <w:lang w:val="sr-Latn-BA"/>
        </w:rPr>
        <w:t>(</w:t>
      </w:r>
      <w:r w:rsidRPr="00CF673E">
        <w:rPr>
          <w:noProof/>
          <w:sz w:val="22"/>
          <w:szCs w:val="22"/>
          <w:lang w:val="sr-Latn-BA"/>
        </w:rPr>
        <w:t>у</w:t>
      </w:r>
      <w:r w:rsidR="00A918F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даљем</w:t>
      </w:r>
      <w:r w:rsidR="00A918F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тексту</w:t>
      </w:r>
      <w:r w:rsidR="00A918F3" w:rsidRPr="00CF673E">
        <w:rPr>
          <w:noProof/>
          <w:sz w:val="22"/>
          <w:szCs w:val="22"/>
          <w:lang w:val="sr-Latn-BA"/>
        </w:rPr>
        <w:t xml:space="preserve">: </w:t>
      </w:r>
      <w:r w:rsidRPr="00CF673E">
        <w:rPr>
          <w:noProof/>
          <w:sz w:val="22"/>
          <w:szCs w:val="22"/>
          <w:lang w:val="sr-Latn-BA"/>
        </w:rPr>
        <w:t>провозна</w:t>
      </w:r>
      <w:r w:rsidR="00A918F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декларација</w:t>
      </w:r>
      <w:r w:rsidR="00A918F3" w:rsidRPr="00CF673E">
        <w:rPr>
          <w:noProof/>
          <w:sz w:val="22"/>
          <w:szCs w:val="22"/>
          <w:lang w:val="sr-Latn-BA"/>
        </w:rPr>
        <w:t>)</w:t>
      </w:r>
      <w:r w:rsidR="0085418B" w:rsidRPr="00CF673E">
        <w:rPr>
          <w:noProof/>
          <w:sz w:val="22"/>
          <w:szCs w:val="22"/>
          <w:lang w:val="sr-Latn-BA"/>
        </w:rPr>
        <w:t>.</w:t>
      </w:r>
    </w:p>
    <w:p w:rsidR="0085418B" w:rsidRPr="00CF673E" w:rsidRDefault="0085418B" w:rsidP="003D3607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3A746F" w:rsidRPr="00CF673E" w:rsidRDefault="003A746F" w:rsidP="003D3607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85418B" w:rsidRPr="00CF673E" w:rsidRDefault="0026650C" w:rsidP="003D3607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Члан</w:t>
      </w:r>
      <w:r w:rsidR="001F1FB5" w:rsidRPr="00CF673E">
        <w:rPr>
          <w:b/>
          <w:noProof/>
          <w:sz w:val="22"/>
          <w:szCs w:val="22"/>
          <w:lang w:val="sr-Latn-BA"/>
        </w:rPr>
        <w:t xml:space="preserve"> 2. </w:t>
      </w:r>
    </w:p>
    <w:p w:rsidR="00D73C1A" w:rsidRPr="00CF673E" w:rsidRDefault="00D73C1A" w:rsidP="003D3607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(</w:t>
      </w:r>
      <w:r w:rsidR="0026650C" w:rsidRPr="00CF673E">
        <w:rPr>
          <w:b/>
          <w:noProof/>
          <w:sz w:val="22"/>
          <w:szCs w:val="22"/>
          <w:lang w:val="sr-Latn-BA"/>
        </w:rPr>
        <w:t>Случајеви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када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се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не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подноси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провозна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декларација</w:t>
      </w:r>
      <w:r w:rsidRPr="00CF673E">
        <w:rPr>
          <w:b/>
          <w:noProof/>
          <w:sz w:val="22"/>
          <w:szCs w:val="22"/>
          <w:lang w:val="sr-Latn-BA"/>
        </w:rPr>
        <w:t>)</w:t>
      </w:r>
    </w:p>
    <w:p w:rsidR="003A746F" w:rsidRPr="00CF673E" w:rsidRDefault="003A746F" w:rsidP="00821BE8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3A746F" w:rsidRPr="00CF673E" w:rsidRDefault="0026650C" w:rsidP="00837DAE">
      <w:pPr>
        <w:pStyle w:val="NoSpacing"/>
        <w:numPr>
          <w:ilvl w:val="0"/>
          <w:numId w:val="17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Провозна</w:t>
      </w:r>
      <w:r w:rsidR="001C5DA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декларација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подноси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D939C2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случају</w:t>
      </w:r>
      <w:r w:rsidR="00455AB6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када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улази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317830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317830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Босне</w:t>
      </w:r>
      <w:r w:rsidR="00317830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317830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Херцеговине</w:t>
      </w:r>
      <w:r w:rsidR="00AF4F01" w:rsidRPr="00CF673E">
        <w:rPr>
          <w:noProof/>
          <w:sz w:val="22"/>
          <w:szCs w:val="22"/>
          <w:lang w:val="sr-Latn-BA"/>
        </w:rPr>
        <w:t xml:space="preserve"> (</w:t>
      </w:r>
      <w:r w:rsidRPr="00CF673E">
        <w:rPr>
          <w:noProof/>
          <w:sz w:val="22"/>
          <w:szCs w:val="22"/>
          <w:lang w:val="sr-Latn-BA"/>
        </w:rPr>
        <w:t>у</w:t>
      </w:r>
      <w:r w:rsidR="00AF4F0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даљем</w:t>
      </w:r>
      <w:r w:rsidR="00AF4F0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тексту</w:t>
      </w:r>
      <w:r w:rsidR="00AF4F01" w:rsidRPr="00CF673E">
        <w:rPr>
          <w:noProof/>
          <w:sz w:val="22"/>
          <w:szCs w:val="22"/>
          <w:lang w:val="sr-Latn-BA"/>
        </w:rPr>
        <w:t xml:space="preserve">: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AF4F0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AF4F01" w:rsidRPr="00CF673E">
        <w:rPr>
          <w:noProof/>
          <w:sz w:val="22"/>
          <w:szCs w:val="22"/>
          <w:lang w:val="sr-Latn-BA"/>
        </w:rPr>
        <w:t>)</w:t>
      </w:r>
      <w:r w:rsidR="00455AB6" w:rsidRPr="00CF673E">
        <w:rPr>
          <w:noProof/>
          <w:sz w:val="22"/>
          <w:szCs w:val="22"/>
          <w:lang w:val="sr-Latn-BA"/>
        </w:rPr>
        <w:t>,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</w:t>
      </w:r>
      <w:r w:rsidR="00317830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захтјеву</w:t>
      </w:r>
      <w:r w:rsidR="00317830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декларанта</w:t>
      </w:r>
      <w:r w:rsidR="00455AB6" w:rsidRPr="00CF673E">
        <w:rPr>
          <w:noProof/>
          <w:sz w:val="22"/>
          <w:szCs w:val="22"/>
          <w:lang w:val="sr-Latn-BA"/>
        </w:rPr>
        <w:t>,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пријављује</w:t>
      </w:r>
      <w:r w:rsidR="00AF4F0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одговарајуће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одобрено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поступање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употребу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код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мјере</w:t>
      </w:r>
      <w:r w:rsidR="001F0C3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царинског</w:t>
      </w:r>
      <w:r w:rsidR="001F0C3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надзора</w:t>
      </w:r>
      <w:r w:rsidR="001F0C3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обавља</w:t>
      </w:r>
      <w:r w:rsidR="001F0C3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царинском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терминалу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који</w:t>
      </w:r>
      <w:r w:rsidR="001F0C3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1F0C3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ту</w:t>
      </w:r>
      <w:r w:rsidR="001F0C3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намјену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користи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граничном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преко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којег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улази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код</w:t>
      </w:r>
      <w:r w:rsidR="00AF4F0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AF4F01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B4014E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налази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поред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непосредној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близини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наведеног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граничног</w:t>
      </w:r>
      <w:r w:rsidR="004F408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прелаза</w:t>
      </w:r>
      <w:r w:rsidR="004F4087" w:rsidRPr="00CF673E">
        <w:rPr>
          <w:noProof/>
          <w:sz w:val="22"/>
          <w:szCs w:val="22"/>
          <w:lang w:val="sr-Latn-BA"/>
        </w:rPr>
        <w:t xml:space="preserve">. </w:t>
      </w:r>
    </w:p>
    <w:p w:rsidR="00D939C2" w:rsidRPr="00CF673E" w:rsidRDefault="00D939C2" w:rsidP="00837DAE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</w:p>
    <w:p w:rsidR="00821BE8" w:rsidRPr="00CF673E" w:rsidRDefault="0026650C" w:rsidP="00837DAE">
      <w:pPr>
        <w:pStyle w:val="NoSpacing"/>
        <w:numPr>
          <w:ilvl w:val="0"/>
          <w:numId w:val="17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Став</w:t>
      </w:r>
      <w:r w:rsidR="00821BE8" w:rsidRPr="00CF673E">
        <w:rPr>
          <w:noProof/>
          <w:sz w:val="22"/>
          <w:szCs w:val="22"/>
          <w:lang w:val="sr-Latn-BA"/>
        </w:rPr>
        <w:t xml:space="preserve"> (1) </w:t>
      </w:r>
      <w:r w:rsidRPr="00CF673E">
        <w:rPr>
          <w:noProof/>
          <w:sz w:val="22"/>
          <w:szCs w:val="22"/>
          <w:lang w:val="sr-Latn-BA"/>
        </w:rPr>
        <w:t>овог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примјењује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сљедећим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граничним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прелазима</w:t>
      </w:r>
      <w:r w:rsidR="00821BE8" w:rsidRPr="00CF673E">
        <w:rPr>
          <w:noProof/>
          <w:sz w:val="22"/>
          <w:szCs w:val="22"/>
          <w:lang w:val="sr-Latn-BA"/>
        </w:rPr>
        <w:t xml:space="preserve">: </w:t>
      </w:r>
    </w:p>
    <w:p w:rsidR="00821BE8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Изачић</w:t>
      </w:r>
      <w:r w:rsidR="00821BE8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Бихаћ</w:t>
      </w:r>
      <w:r w:rsidR="00821BE8" w:rsidRPr="00CF673E">
        <w:rPr>
          <w:noProof/>
          <w:sz w:val="22"/>
          <w:szCs w:val="22"/>
          <w:lang w:val="sr-Latn-BA"/>
        </w:rPr>
        <w:t>,</w:t>
      </w:r>
    </w:p>
    <w:p w:rsidR="00821BE8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Градишка</w:t>
      </w:r>
      <w:r w:rsidR="00821BE8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Градишка</w:t>
      </w:r>
      <w:r w:rsidR="00821BE8" w:rsidRPr="00CF673E">
        <w:rPr>
          <w:noProof/>
          <w:sz w:val="22"/>
          <w:szCs w:val="22"/>
          <w:lang w:val="sr-Latn-BA"/>
        </w:rPr>
        <w:t>,</w:t>
      </w:r>
    </w:p>
    <w:p w:rsidR="00390AF3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390AF3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390AF3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Доњи</w:t>
      </w:r>
      <w:r w:rsidR="00390AF3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Свилај</w:t>
      </w:r>
      <w:r w:rsidR="00390AF3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390AF3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390AF3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Доњи</w:t>
      </w:r>
      <w:r w:rsidR="00390AF3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Свилај</w:t>
      </w:r>
      <w:r w:rsidR="00390AF3" w:rsidRPr="00CF673E">
        <w:rPr>
          <w:noProof/>
          <w:sz w:val="22"/>
          <w:szCs w:val="22"/>
          <w:lang w:val="sr-Latn-BA"/>
        </w:rPr>
        <w:t>,</w:t>
      </w:r>
    </w:p>
    <w:p w:rsidR="00821BE8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Шамац</w:t>
      </w:r>
      <w:r w:rsidR="00821BE8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испоства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Шамац</w:t>
      </w:r>
      <w:r w:rsidR="00821BE8" w:rsidRPr="00CF673E">
        <w:rPr>
          <w:noProof/>
          <w:sz w:val="22"/>
          <w:szCs w:val="22"/>
          <w:lang w:val="sr-Latn-BA"/>
        </w:rPr>
        <w:t>,</w:t>
      </w:r>
    </w:p>
    <w:p w:rsidR="00821BE8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Брод</w:t>
      </w:r>
      <w:r w:rsidR="00821BE8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Брод</w:t>
      </w:r>
      <w:r w:rsidR="00821BE8" w:rsidRPr="00CF673E">
        <w:rPr>
          <w:noProof/>
          <w:sz w:val="22"/>
          <w:szCs w:val="22"/>
          <w:lang w:val="sr-Latn-BA"/>
        </w:rPr>
        <w:t>,</w:t>
      </w:r>
    </w:p>
    <w:p w:rsidR="00821BE8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Брчко</w:t>
      </w:r>
      <w:r w:rsidR="00821BE8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Брчко</w:t>
      </w:r>
      <w:r w:rsidR="00821BE8" w:rsidRPr="00CF673E">
        <w:rPr>
          <w:noProof/>
          <w:sz w:val="22"/>
          <w:szCs w:val="22"/>
          <w:lang w:val="sr-Latn-BA"/>
        </w:rPr>
        <w:t>,</w:t>
      </w:r>
    </w:p>
    <w:p w:rsidR="00390AF3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Орашје</w:t>
      </w:r>
      <w:r w:rsidR="00821BE8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Орашје</w:t>
      </w:r>
      <w:r w:rsidR="00390AF3" w:rsidRPr="00CF673E">
        <w:rPr>
          <w:noProof/>
          <w:sz w:val="22"/>
          <w:szCs w:val="22"/>
          <w:lang w:val="sr-Latn-BA"/>
        </w:rPr>
        <w:t>,</w:t>
      </w:r>
    </w:p>
    <w:p w:rsidR="007520CE" w:rsidRPr="00CF673E" w:rsidRDefault="00F00BAA" w:rsidP="007520CE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Каракај</w:t>
      </w:r>
      <w:r w:rsidR="00821BE8" w:rsidRPr="00CF673E">
        <w:rPr>
          <w:noProof/>
          <w:sz w:val="22"/>
          <w:szCs w:val="22"/>
          <w:lang w:val="sr-Latn-BA"/>
        </w:rPr>
        <w:t xml:space="preserve"> -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Зворник</w:t>
      </w:r>
      <w:r w:rsidR="00821BE8" w:rsidRPr="00CF673E">
        <w:rPr>
          <w:noProof/>
          <w:sz w:val="22"/>
          <w:szCs w:val="22"/>
          <w:lang w:val="sr-Latn-BA"/>
        </w:rPr>
        <w:t>,</w:t>
      </w:r>
    </w:p>
    <w:p w:rsidR="007520CE" w:rsidRPr="00CF673E" w:rsidRDefault="00F00BAA" w:rsidP="007520CE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7520CE" w:rsidRPr="00CF673E">
        <w:rPr>
          <w:noProof/>
          <w:sz w:val="22"/>
          <w:szCs w:val="22"/>
          <w:lang w:val="sr-Latn-BA"/>
        </w:rPr>
        <w:t>ранични прелаз Братунац (Нови Мост) - Царинска испостава Братунац,</w:t>
      </w:r>
    </w:p>
    <w:p w:rsidR="005C374A" w:rsidRPr="00CF673E" w:rsidRDefault="00F00BAA" w:rsidP="00D73C1A">
      <w:pPr>
        <w:pStyle w:val="NoSpacing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Latn-BA"/>
        </w:rPr>
        <w:t>г</w:t>
      </w:r>
      <w:r w:rsidR="0026650C" w:rsidRPr="00CF673E">
        <w:rPr>
          <w:noProof/>
          <w:sz w:val="22"/>
          <w:szCs w:val="22"/>
          <w:lang w:val="sr-Latn-BA"/>
        </w:rPr>
        <w:t>ранични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прелаз</w:t>
      </w:r>
      <w:r w:rsidR="00821BE8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Бијача</w:t>
      </w:r>
      <w:r w:rsidR="00821BE8" w:rsidRPr="00CF673E">
        <w:rPr>
          <w:noProof/>
          <w:sz w:val="22"/>
          <w:szCs w:val="22"/>
          <w:lang w:val="sr-Latn-BA"/>
        </w:rPr>
        <w:t xml:space="preserve"> -</w:t>
      </w:r>
      <w:r w:rsidR="00837DAE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Царинска</w:t>
      </w:r>
      <w:r w:rsidR="00837DAE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испостава</w:t>
      </w:r>
      <w:r w:rsidR="00837DAE" w:rsidRPr="00CF673E">
        <w:rPr>
          <w:noProof/>
          <w:sz w:val="22"/>
          <w:szCs w:val="22"/>
          <w:lang w:val="sr-Latn-BA"/>
        </w:rPr>
        <w:t xml:space="preserve"> </w:t>
      </w:r>
      <w:r w:rsidR="0026650C" w:rsidRPr="00CF673E">
        <w:rPr>
          <w:noProof/>
          <w:sz w:val="22"/>
          <w:szCs w:val="22"/>
          <w:lang w:val="sr-Latn-BA"/>
        </w:rPr>
        <w:t>Љубушки</w:t>
      </w:r>
      <w:r w:rsidR="00390AF3" w:rsidRPr="00CF673E">
        <w:rPr>
          <w:noProof/>
          <w:sz w:val="22"/>
          <w:szCs w:val="22"/>
          <w:lang w:val="sr-Latn-BA"/>
        </w:rPr>
        <w:t>.</w:t>
      </w:r>
    </w:p>
    <w:p w:rsidR="002E198D" w:rsidRPr="00CF673E" w:rsidRDefault="002E198D" w:rsidP="002750A9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2E198D" w:rsidRPr="00CF673E" w:rsidRDefault="002E198D" w:rsidP="002750A9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5C374A" w:rsidRPr="00CF673E" w:rsidRDefault="0026650C" w:rsidP="002750A9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Члан</w:t>
      </w:r>
      <w:r w:rsidR="005C374A" w:rsidRPr="00CF673E">
        <w:rPr>
          <w:b/>
          <w:noProof/>
          <w:sz w:val="22"/>
          <w:szCs w:val="22"/>
          <w:lang w:val="sr-Latn-BA"/>
        </w:rPr>
        <w:t xml:space="preserve"> 3.</w:t>
      </w:r>
    </w:p>
    <w:p w:rsidR="002750A9" w:rsidRPr="00CF673E" w:rsidRDefault="00D73C1A" w:rsidP="002750A9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(</w:t>
      </w:r>
      <w:r w:rsidR="0026650C" w:rsidRPr="00CF673E">
        <w:rPr>
          <w:b/>
          <w:noProof/>
          <w:sz w:val="22"/>
          <w:szCs w:val="22"/>
          <w:lang w:val="sr-Latn-BA"/>
        </w:rPr>
        <w:t>Поступање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у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вези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робе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која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улази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у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</w:p>
    <w:p w:rsidR="006C3B95" w:rsidRPr="00CF673E" w:rsidRDefault="0026650C" w:rsidP="002750A9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царинско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подручје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преко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="00F00BAA">
        <w:rPr>
          <w:b/>
          <w:noProof/>
          <w:sz w:val="22"/>
          <w:szCs w:val="22"/>
          <w:lang w:val="sr-Latn-BA"/>
        </w:rPr>
        <w:t>г</w:t>
      </w:r>
      <w:r w:rsidRPr="00CF673E">
        <w:rPr>
          <w:b/>
          <w:noProof/>
          <w:sz w:val="22"/>
          <w:szCs w:val="22"/>
          <w:lang w:val="sr-Latn-BA"/>
        </w:rPr>
        <w:t>раничног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прелаза</w:t>
      </w:r>
      <w:r w:rsidR="006C3B95" w:rsidRPr="00CF673E">
        <w:rPr>
          <w:b/>
          <w:noProof/>
          <w:sz w:val="22"/>
          <w:szCs w:val="22"/>
          <w:lang w:val="sr-Latn-BA"/>
        </w:rPr>
        <w:t xml:space="preserve"> </w:t>
      </w:r>
      <w:r w:rsidRPr="00CF673E">
        <w:rPr>
          <w:b/>
          <w:noProof/>
          <w:sz w:val="22"/>
          <w:szCs w:val="22"/>
          <w:lang w:val="sr-Latn-BA"/>
        </w:rPr>
        <w:t>Рача</w:t>
      </w:r>
      <w:r w:rsidR="006C3B95" w:rsidRPr="00CF673E">
        <w:rPr>
          <w:b/>
          <w:noProof/>
          <w:sz w:val="22"/>
          <w:szCs w:val="22"/>
          <w:lang w:val="sr-Latn-BA"/>
        </w:rPr>
        <w:t xml:space="preserve">) </w:t>
      </w:r>
    </w:p>
    <w:p w:rsidR="005C374A" w:rsidRPr="00CF673E" w:rsidRDefault="005C374A" w:rsidP="002750A9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5C374A" w:rsidRPr="00CF673E" w:rsidRDefault="0026650C" w:rsidP="002750A9">
      <w:pPr>
        <w:pStyle w:val="NoSpacing"/>
        <w:numPr>
          <w:ilvl w:val="0"/>
          <w:numId w:val="36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Осим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ако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декларант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жели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подношење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провозне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декларације</w:t>
      </w:r>
      <w:r w:rsidR="00390AF3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захтијева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када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улази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="00F00BAA">
        <w:rPr>
          <w:noProof/>
          <w:sz w:val="22"/>
          <w:szCs w:val="22"/>
          <w:lang w:val="sr-Cyrl-BA"/>
        </w:rPr>
        <w:t>г</w:t>
      </w:r>
      <w:r w:rsidRPr="00CF673E">
        <w:rPr>
          <w:noProof/>
          <w:sz w:val="22"/>
          <w:szCs w:val="22"/>
          <w:lang w:val="sr-Latn-BA"/>
        </w:rPr>
        <w:t>раничног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Рача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захтјеву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декларанта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пријављује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lastRenderedPageBreak/>
        <w:t>одговарајуће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поступање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употребу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Царинској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испостави</w:t>
      </w:r>
      <w:r w:rsidR="007039E9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Бијељина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сљедећим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случајевима</w:t>
      </w:r>
      <w:r w:rsidR="005C374A" w:rsidRPr="00CF673E">
        <w:rPr>
          <w:noProof/>
          <w:sz w:val="22"/>
          <w:szCs w:val="22"/>
          <w:lang w:val="sr-Latn-BA"/>
        </w:rPr>
        <w:t>:</w:t>
      </w:r>
    </w:p>
    <w:p w:rsidR="005C374A" w:rsidRPr="00CF673E" w:rsidRDefault="0026650C" w:rsidP="002750A9">
      <w:pPr>
        <w:pStyle w:val="NoSpacing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без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обзира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њено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одредште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Босни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Херцеговини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под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условом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исту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нема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ограничења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односно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ничим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није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искључена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надлежност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Бијељина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</w:p>
    <w:p w:rsidR="005C374A" w:rsidRPr="00CF673E" w:rsidRDefault="0026650C" w:rsidP="002750A9">
      <w:pPr>
        <w:pStyle w:val="NoSpacing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збирну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пошиљку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(3)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. </w:t>
      </w:r>
    </w:p>
    <w:p w:rsidR="005C374A" w:rsidRPr="00CF673E" w:rsidRDefault="005C374A" w:rsidP="002750A9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</w:p>
    <w:p w:rsidR="005C374A" w:rsidRPr="00CF673E" w:rsidRDefault="0026650C" w:rsidP="002750A9">
      <w:pPr>
        <w:pStyle w:val="NoSpacing"/>
        <w:numPr>
          <w:ilvl w:val="0"/>
          <w:numId w:val="36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Став</w:t>
      </w:r>
      <w:r w:rsidR="005C374A" w:rsidRPr="00CF673E">
        <w:rPr>
          <w:noProof/>
          <w:sz w:val="22"/>
          <w:szCs w:val="22"/>
          <w:lang w:val="sr-Latn-BA"/>
        </w:rPr>
        <w:t xml:space="preserve"> (1)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примјењује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улази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="00F00BAA">
        <w:rPr>
          <w:noProof/>
          <w:sz w:val="22"/>
          <w:szCs w:val="22"/>
          <w:lang w:val="sr-Latn-BA"/>
        </w:rPr>
        <w:t>г</w:t>
      </w:r>
      <w:r w:rsidRPr="00CF673E">
        <w:rPr>
          <w:noProof/>
          <w:sz w:val="22"/>
          <w:szCs w:val="22"/>
          <w:lang w:val="sr-Latn-BA"/>
        </w:rPr>
        <w:t>раничног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Рача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није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питању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збирна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пошиљка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(3)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сљедећим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случајевима</w:t>
      </w:r>
      <w:r w:rsidR="005C374A" w:rsidRPr="00CF673E">
        <w:rPr>
          <w:noProof/>
          <w:sz w:val="22"/>
          <w:szCs w:val="22"/>
          <w:lang w:val="sr-Latn-BA"/>
        </w:rPr>
        <w:t>:</w:t>
      </w:r>
    </w:p>
    <w:p w:rsidR="005C374A" w:rsidRPr="00CF673E" w:rsidRDefault="0026650C" w:rsidP="002750A9">
      <w:pPr>
        <w:pStyle w:val="NoSpacing"/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ако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предметну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надлежна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друга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5C374A" w:rsidRPr="00CF673E">
        <w:rPr>
          <w:noProof/>
          <w:sz w:val="22"/>
          <w:szCs w:val="22"/>
          <w:lang w:val="sr-Latn-BA"/>
        </w:rPr>
        <w:t xml:space="preserve"> (</w:t>
      </w:r>
      <w:r w:rsidRPr="00CF673E">
        <w:rPr>
          <w:noProof/>
          <w:sz w:val="22"/>
          <w:szCs w:val="22"/>
          <w:lang w:val="sr-Latn-BA"/>
        </w:rPr>
        <w:t>било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надлежност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прописана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нпр</w:t>
      </w:r>
      <w:r w:rsidR="005C374A" w:rsidRPr="00CF673E">
        <w:rPr>
          <w:noProof/>
          <w:sz w:val="22"/>
          <w:szCs w:val="22"/>
          <w:lang w:val="sr-Latn-BA"/>
        </w:rPr>
        <w:t xml:space="preserve">. </w:t>
      </w:r>
      <w:r w:rsidRPr="00CF673E">
        <w:rPr>
          <w:noProof/>
          <w:sz w:val="22"/>
          <w:szCs w:val="22"/>
          <w:lang w:val="sr-Latn-BA"/>
        </w:rPr>
        <w:t>случај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код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одређених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царинских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повластица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друго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или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надлежност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одређена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одобрењем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односи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предметну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робу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дозволом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увоз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друго</w:t>
      </w:r>
      <w:r w:rsidR="005C374A" w:rsidRPr="00CF673E">
        <w:rPr>
          <w:noProof/>
          <w:sz w:val="22"/>
          <w:szCs w:val="22"/>
          <w:lang w:val="sr-Latn-BA"/>
        </w:rPr>
        <w:t>),</w:t>
      </w:r>
    </w:p>
    <w:p w:rsidR="005C374A" w:rsidRPr="00CF673E" w:rsidRDefault="0026650C" w:rsidP="002750A9">
      <w:pPr>
        <w:pStyle w:val="NoSpacing"/>
        <w:numPr>
          <w:ilvl w:val="0"/>
          <w:numId w:val="38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ако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питању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ће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пријавити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одговарајући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увозни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поступак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кућном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увозном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царињењу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складу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важећим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одобрењем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независно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ли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одобрењем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77384D" w:rsidRPr="00CF673E">
        <w:rPr>
          <w:noProof/>
          <w:sz w:val="22"/>
          <w:szCs w:val="22"/>
          <w:lang w:val="sr-Latn-BA"/>
        </w:rPr>
        <w:t>/</w:t>
      </w:r>
      <w:r w:rsidRPr="00CF673E">
        <w:rPr>
          <w:noProof/>
          <w:sz w:val="22"/>
          <w:szCs w:val="22"/>
          <w:lang w:val="sr-Latn-BA"/>
        </w:rPr>
        <w:t>или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одобрењем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статус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овлашћеног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примаоца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као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надзорна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одређена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Бијељина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друга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5C374A" w:rsidRPr="00CF673E">
        <w:rPr>
          <w:noProof/>
          <w:sz w:val="22"/>
          <w:szCs w:val="22"/>
          <w:lang w:val="sr-Latn-BA"/>
        </w:rPr>
        <w:t>.</w:t>
      </w:r>
    </w:p>
    <w:p w:rsidR="005C374A" w:rsidRPr="00CF673E" w:rsidRDefault="005C374A" w:rsidP="002750A9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</w:p>
    <w:p w:rsidR="005C374A" w:rsidRPr="00CF673E" w:rsidRDefault="0026650C" w:rsidP="002750A9">
      <w:pPr>
        <w:pStyle w:val="NoSpacing"/>
        <w:numPr>
          <w:ilvl w:val="0"/>
          <w:numId w:val="36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када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предметна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збирна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пошиљка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поред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(1) </w:t>
      </w:r>
      <w:r w:rsidRPr="00CF673E">
        <w:rPr>
          <w:noProof/>
          <w:sz w:val="22"/>
          <w:szCs w:val="22"/>
          <w:lang w:val="sr-Latn-BA"/>
        </w:rPr>
        <w:t>тачка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а</w:t>
      </w:r>
      <w:r w:rsidR="005C374A" w:rsidRPr="00CF673E">
        <w:rPr>
          <w:noProof/>
          <w:sz w:val="22"/>
          <w:szCs w:val="22"/>
          <w:lang w:val="sr-Latn-BA"/>
        </w:rPr>
        <w:t xml:space="preserve">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садржи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(2)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поступање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сљедеће</w:t>
      </w:r>
      <w:r w:rsidR="005C374A" w:rsidRPr="00CF673E">
        <w:rPr>
          <w:noProof/>
          <w:sz w:val="22"/>
          <w:szCs w:val="22"/>
          <w:lang w:val="sr-Latn-BA"/>
        </w:rPr>
        <w:t>:</w:t>
      </w:r>
    </w:p>
    <w:p w:rsidR="005C374A" w:rsidRPr="00CF673E" w:rsidRDefault="0026650C" w:rsidP="002750A9">
      <w:pPr>
        <w:pStyle w:val="NoSpacing"/>
        <w:numPr>
          <w:ilvl w:val="0"/>
          <w:numId w:val="39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роба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(2)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мора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бити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пријављена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Царинској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Бијељина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поступак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провозној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декларацији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ради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њеног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упућивања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надлежну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одредишну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испоставу</w:t>
      </w:r>
      <w:r w:rsidR="005C374A" w:rsidRPr="00CF673E">
        <w:rPr>
          <w:noProof/>
          <w:sz w:val="22"/>
          <w:szCs w:val="22"/>
          <w:lang w:val="sr-Latn-BA"/>
        </w:rPr>
        <w:t>,</w:t>
      </w:r>
    </w:p>
    <w:p w:rsidR="005C374A" w:rsidRPr="00CF673E" w:rsidRDefault="0026650C" w:rsidP="002750A9">
      <w:pPr>
        <w:pStyle w:val="NoSpacing"/>
        <w:numPr>
          <w:ilvl w:val="0"/>
          <w:numId w:val="39"/>
        </w:numPr>
        <w:tabs>
          <w:tab w:val="left" w:pos="851"/>
        </w:tabs>
        <w:ind w:left="851" w:hanging="425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ако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(2) </w:t>
      </w:r>
      <w:r w:rsidRPr="00CF673E">
        <w:rPr>
          <w:noProof/>
          <w:sz w:val="22"/>
          <w:szCs w:val="22"/>
          <w:lang w:val="sr-Latn-BA"/>
        </w:rPr>
        <w:t>тачка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</w:t>
      </w:r>
      <w:r w:rsidR="005C374A" w:rsidRPr="00CF673E">
        <w:rPr>
          <w:noProof/>
          <w:sz w:val="22"/>
          <w:szCs w:val="22"/>
          <w:lang w:val="sr-Latn-BA"/>
        </w:rPr>
        <w:t xml:space="preserve">) </w:t>
      </w:r>
      <w:r w:rsidRPr="00CF673E">
        <w:rPr>
          <w:noProof/>
          <w:sz w:val="22"/>
          <w:szCs w:val="22"/>
          <w:lang w:val="sr-Latn-BA"/>
        </w:rPr>
        <w:t>овог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77384D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одобрењу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кућно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увозно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царињнење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77384D" w:rsidRPr="00CF673E">
        <w:rPr>
          <w:noProof/>
          <w:sz w:val="22"/>
          <w:szCs w:val="22"/>
          <w:lang w:val="sr-Latn-BA"/>
        </w:rPr>
        <w:t>/</w:t>
      </w:r>
      <w:r w:rsidRPr="00CF673E">
        <w:rPr>
          <w:noProof/>
          <w:sz w:val="22"/>
          <w:szCs w:val="22"/>
          <w:lang w:val="sr-Latn-BA"/>
        </w:rPr>
        <w:t>или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статус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овлашћеног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примаоца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као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надзорна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одређена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Бијељина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исту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може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користи</w:t>
      </w:r>
      <w:r w:rsidR="00C6677E" w:rsidRPr="00CF673E">
        <w:rPr>
          <w:noProof/>
          <w:sz w:val="22"/>
          <w:szCs w:val="22"/>
          <w:lang w:val="sr-Cyrl-BA"/>
        </w:rPr>
        <w:t>ти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кућно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увозно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царињење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нити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статус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овлашћеног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примаоца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него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редован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поступак</w:t>
      </w:r>
      <w:r w:rsidR="005C374A" w:rsidRPr="00CF673E">
        <w:rPr>
          <w:noProof/>
          <w:sz w:val="22"/>
          <w:szCs w:val="22"/>
          <w:lang w:val="sr-Latn-BA"/>
        </w:rPr>
        <w:t>.</w:t>
      </w:r>
    </w:p>
    <w:p w:rsidR="005C374A" w:rsidRPr="00CF673E" w:rsidRDefault="005C374A" w:rsidP="002750A9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</w:p>
    <w:p w:rsidR="005C374A" w:rsidRPr="00CF673E" w:rsidRDefault="0026650C" w:rsidP="002750A9">
      <w:pPr>
        <w:pStyle w:val="NoSpacing"/>
        <w:numPr>
          <w:ilvl w:val="0"/>
          <w:numId w:val="36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случајевима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(1)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Царински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="00F00BAA">
        <w:rPr>
          <w:noProof/>
          <w:sz w:val="22"/>
          <w:szCs w:val="22"/>
          <w:lang w:val="sr-Cyrl-BA"/>
        </w:rPr>
        <w:t>г</w:t>
      </w:r>
      <w:r w:rsidRPr="00CF673E">
        <w:rPr>
          <w:noProof/>
          <w:sz w:val="22"/>
          <w:szCs w:val="22"/>
          <w:lang w:val="sr-Latn-BA"/>
        </w:rPr>
        <w:t>раничном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Рача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ради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идентификације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робе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="00C6677E" w:rsidRPr="00CF673E">
        <w:rPr>
          <w:noProof/>
          <w:sz w:val="22"/>
          <w:szCs w:val="22"/>
          <w:lang w:val="sr-Latn-BA"/>
        </w:rPr>
        <w:t>ставља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пломбе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гдје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могуће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складу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прописима</w:t>
      </w:r>
      <w:r w:rsidR="005C374A" w:rsidRPr="00CF673E">
        <w:rPr>
          <w:noProof/>
          <w:sz w:val="22"/>
          <w:szCs w:val="22"/>
          <w:lang w:val="sr-Latn-BA"/>
        </w:rPr>
        <w:t xml:space="preserve">. </w:t>
      </w:r>
    </w:p>
    <w:p w:rsidR="005C374A" w:rsidRPr="00CF673E" w:rsidRDefault="005C374A" w:rsidP="002750A9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</w:p>
    <w:p w:rsidR="005C374A" w:rsidRPr="00CF673E" w:rsidRDefault="0026650C" w:rsidP="002750A9">
      <w:pPr>
        <w:pStyle w:val="NoSpacing"/>
        <w:numPr>
          <w:ilvl w:val="0"/>
          <w:numId w:val="36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Роба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става</w:t>
      </w:r>
      <w:r w:rsidR="005C374A" w:rsidRPr="00CF673E">
        <w:rPr>
          <w:noProof/>
          <w:sz w:val="22"/>
          <w:szCs w:val="22"/>
          <w:lang w:val="sr-Latn-BA"/>
        </w:rPr>
        <w:t xml:space="preserve"> (2) </w:t>
      </w:r>
      <w:r w:rsidRPr="00CF673E">
        <w:rPr>
          <w:noProof/>
          <w:sz w:val="22"/>
          <w:szCs w:val="22"/>
          <w:lang w:val="sr-Latn-BA"/>
        </w:rPr>
        <w:t>овог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члана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уноси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преко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="00F00BAA">
        <w:rPr>
          <w:noProof/>
          <w:sz w:val="22"/>
          <w:szCs w:val="22"/>
          <w:lang w:val="sr-Latn-BA"/>
        </w:rPr>
        <w:t>г</w:t>
      </w:r>
      <w:r w:rsidRPr="00CF673E">
        <w:rPr>
          <w:noProof/>
          <w:sz w:val="22"/>
          <w:szCs w:val="22"/>
          <w:lang w:val="sr-Latn-BA"/>
        </w:rPr>
        <w:t>раничног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Рача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мора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пријавити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поступак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подношењем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провозне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</w:t>
      </w:r>
      <w:r w:rsidR="00CF673E" w:rsidRPr="00CF673E">
        <w:rPr>
          <w:noProof/>
          <w:sz w:val="22"/>
          <w:szCs w:val="22"/>
          <w:lang w:val="sr-Latn-BA"/>
        </w:rPr>
        <w:t>а</w:t>
      </w:r>
      <w:r w:rsidRPr="00CF673E">
        <w:rPr>
          <w:noProof/>
          <w:sz w:val="22"/>
          <w:szCs w:val="22"/>
          <w:lang w:val="sr-Latn-BA"/>
        </w:rPr>
        <w:t>рације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="00DE1C84">
        <w:rPr>
          <w:noProof/>
          <w:sz w:val="22"/>
          <w:szCs w:val="22"/>
          <w:lang w:val="sr-Latn-BA"/>
        </w:rPr>
        <w:t>ц</w:t>
      </w:r>
      <w:r w:rsidRPr="00CF673E">
        <w:rPr>
          <w:noProof/>
          <w:sz w:val="22"/>
          <w:szCs w:val="22"/>
          <w:lang w:val="sr-Latn-BA"/>
        </w:rPr>
        <w:t>аринском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граничном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прелазу</w:t>
      </w:r>
      <w:r w:rsidR="005C374A" w:rsidRPr="00CF673E">
        <w:rPr>
          <w:noProof/>
          <w:sz w:val="22"/>
          <w:szCs w:val="22"/>
          <w:lang w:val="sr-Latn-BA"/>
        </w:rPr>
        <w:t xml:space="preserve">. </w:t>
      </w:r>
    </w:p>
    <w:p w:rsidR="005C374A" w:rsidRPr="00CF673E" w:rsidRDefault="005C374A" w:rsidP="002750A9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</w:p>
    <w:p w:rsidR="0085418B" w:rsidRPr="00CF673E" w:rsidRDefault="0026650C" w:rsidP="002750A9">
      <w:pPr>
        <w:pStyle w:val="NoSpacing"/>
        <w:numPr>
          <w:ilvl w:val="0"/>
          <w:numId w:val="36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Царински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="00F00BAA">
        <w:rPr>
          <w:noProof/>
          <w:sz w:val="22"/>
          <w:szCs w:val="22"/>
          <w:lang w:val="sr-Cyrl-BA"/>
        </w:rPr>
        <w:t>г</w:t>
      </w:r>
      <w:r w:rsidRPr="00CF673E">
        <w:rPr>
          <w:noProof/>
          <w:sz w:val="22"/>
          <w:szCs w:val="22"/>
          <w:lang w:val="sr-Latn-BA"/>
        </w:rPr>
        <w:t>раничном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Рача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Бијељина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уредиће</w:t>
      </w:r>
      <w:r w:rsidR="0077384D" w:rsidRPr="00CF673E">
        <w:rPr>
          <w:noProof/>
          <w:sz w:val="22"/>
          <w:szCs w:val="22"/>
          <w:lang w:val="sr-Latn-BA"/>
        </w:rPr>
        <w:t>,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писаној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форми</w:t>
      </w:r>
      <w:r w:rsidR="0077384D" w:rsidRPr="00CF673E">
        <w:rPr>
          <w:noProof/>
          <w:sz w:val="22"/>
          <w:szCs w:val="22"/>
          <w:lang w:val="sr-Latn-BA"/>
        </w:rPr>
        <w:t>,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начин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ће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међусобно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обавјештавати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упућивању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њеном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предочењу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односно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пријављивању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Царинској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Бијељина</w:t>
      </w:r>
      <w:r w:rsidR="005C374A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начин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раздуживања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исте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друго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утицаја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примјену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ове</w:t>
      </w:r>
      <w:r w:rsidR="005C374A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5C374A" w:rsidRPr="00CF673E">
        <w:rPr>
          <w:noProof/>
          <w:sz w:val="22"/>
          <w:szCs w:val="22"/>
          <w:lang w:val="sr-Latn-BA"/>
        </w:rPr>
        <w:t xml:space="preserve">. </w:t>
      </w:r>
    </w:p>
    <w:p w:rsidR="005C374A" w:rsidRPr="00CF673E" w:rsidRDefault="005C374A" w:rsidP="00CD1344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6C3B95" w:rsidRPr="00CF673E" w:rsidRDefault="006C3B95" w:rsidP="00CD1344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6C3B95" w:rsidRPr="00652645" w:rsidRDefault="0026650C" w:rsidP="006C3B95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652645">
        <w:rPr>
          <w:b/>
          <w:noProof/>
          <w:sz w:val="22"/>
          <w:szCs w:val="22"/>
          <w:lang w:val="sr-Latn-BA"/>
        </w:rPr>
        <w:t>Члан</w:t>
      </w:r>
      <w:r w:rsidR="006C3B95" w:rsidRPr="00652645">
        <w:rPr>
          <w:b/>
          <w:noProof/>
          <w:sz w:val="22"/>
          <w:szCs w:val="22"/>
          <w:lang w:val="sr-Latn-BA"/>
        </w:rPr>
        <w:t xml:space="preserve"> 4. </w:t>
      </w:r>
    </w:p>
    <w:p w:rsidR="006C3B95" w:rsidRPr="00652645" w:rsidRDefault="006C3B95" w:rsidP="006C3B95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652645">
        <w:rPr>
          <w:b/>
          <w:noProof/>
          <w:sz w:val="22"/>
          <w:szCs w:val="22"/>
          <w:lang w:val="sr-Latn-BA"/>
        </w:rPr>
        <w:t>(</w:t>
      </w:r>
      <w:r w:rsidR="0026650C" w:rsidRPr="00652645">
        <w:rPr>
          <w:b/>
          <w:noProof/>
          <w:sz w:val="22"/>
          <w:szCs w:val="22"/>
          <w:lang w:val="sr-Latn-BA"/>
        </w:rPr>
        <w:t>Документа</w:t>
      </w:r>
      <w:r w:rsidRPr="00652645">
        <w:rPr>
          <w:b/>
          <w:noProof/>
          <w:sz w:val="22"/>
          <w:szCs w:val="22"/>
          <w:lang w:val="sr-Latn-BA"/>
        </w:rPr>
        <w:t xml:space="preserve"> </w:t>
      </w:r>
      <w:r w:rsidR="0026650C" w:rsidRPr="00652645">
        <w:rPr>
          <w:b/>
          <w:noProof/>
          <w:sz w:val="22"/>
          <w:szCs w:val="22"/>
          <w:lang w:val="sr-Latn-BA"/>
        </w:rPr>
        <w:t>која</w:t>
      </w:r>
      <w:r w:rsidRPr="00652645">
        <w:rPr>
          <w:b/>
          <w:noProof/>
          <w:sz w:val="22"/>
          <w:szCs w:val="22"/>
          <w:lang w:val="sr-Latn-BA"/>
        </w:rPr>
        <w:t xml:space="preserve"> </w:t>
      </w:r>
      <w:r w:rsidR="0026650C" w:rsidRPr="00652645">
        <w:rPr>
          <w:b/>
          <w:noProof/>
          <w:sz w:val="22"/>
          <w:szCs w:val="22"/>
          <w:lang w:val="sr-Latn-BA"/>
        </w:rPr>
        <w:t>се</w:t>
      </w:r>
      <w:r w:rsidRPr="00652645">
        <w:rPr>
          <w:b/>
          <w:noProof/>
          <w:sz w:val="22"/>
          <w:szCs w:val="22"/>
          <w:lang w:val="sr-Latn-BA"/>
        </w:rPr>
        <w:t xml:space="preserve"> </w:t>
      </w:r>
      <w:r w:rsidR="0026650C" w:rsidRPr="00652645">
        <w:rPr>
          <w:b/>
          <w:noProof/>
          <w:sz w:val="22"/>
          <w:szCs w:val="22"/>
          <w:lang w:val="sr-Latn-BA"/>
        </w:rPr>
        <w:t>прилажу</w:t>
      </w:r>
      <w:r w:rsidRPr="00652645">
        <w:rPr>
          <w:b/>
          <w:noProof/>
          <w:sz w:val="22"/>
          <w:szCs w:val="22"/>
          <w:lang w:val="sr-Latn-BA"/>
        </w:rPr>
        <w:t xml:space="preserve"> </w:t>
      </w:r>
      <w:r w:rsidR="0026650C" w:rsidRPr="00652645">
        <w:rPr>
          <w:b/>
          <w:noProof/>
          <w:sz w:val="22"/>
          <w:szCs w:val="22"/>
          <w:lang w:val="sr-Latn-BA"/>
        </w:rPr>
        <w:t>уз</w:t>
      </w:r>
      <w:r w:rsidRPr="00652645">
        <w:rPr>
          <w:b/>
          <w:noProof/>
          <w:sz w:val="22"/>
          <w:szCs w:val="22"/>
          <w:lang w:val="sr-Latn-BA"/>
        </w:rPr>
        <w:t xml:space="preserve"> </w:t>
      </w:r>
      <w:r w:rsidR="0026650C" w:rsidRPr="00652645">
        <w:rPr>
          <w:b/>
          <w:noProof/>
          <w:sz w:val="22"/>
          <w:szCs w:val="22"/>
          <w:lang w:val="sr-Latn-BA"/>
        </w:rPr>
        <w:t>царинску</w:t>
      </w:r>
      <w:r w:rsidRPr="00652645">
        <w:rPr>
          <w:b/>
          <w:noProof/>
          <w:sz w:val="22"/>
          <w:szCs w:val="22"/>
          <w:lang w:val="sr-Latn-BA"/>
        </w:rPr>
        <w:t xml:space="preserve"> </w:t>
      </w:r>
      <w:r w:rsidR="0026650C" w:rsidRPr="00652645">
        <w:rPr>
          <w:b/>
          <w:noProof/>
          <w:sz w:val="22"/>
          <w:szCs w:val="22"/>
          <w:lang w:val="sr-Latn-BA"/>
        </w:rPr>
        <w:t>декларацију</w:t>
      </w:r>
      <w:r w:rsidRPr="00652645">
        <w:rPr>
          <w:b/>
          <w:noProof/>
          <w:sz w:val="22"/>
          <w:szCs w:val="22"/>
          <w:lang w:val="sr-Latn-BA"/>
        </w:rPr>
        <w:t>)</w:t>
      </w:r>
    </w:p>
    <w:p w:rsidR="006C3B95" w:rsidRPr="00652645" w:rsidRDefault="006C3B95" w:rsidP="006C3B95">
      <w:pPr>
        <w:pStyle w:val="NoSpacing"/>
        <w:jc w:val="center"/>
        <w:rPr>
          <w:noProof/>
          <w:sz w:val="22"/>
          <w:szCs w:val="22"/>
          <w:lang w:val="sr-Latn-BA"/>
        </w:rPr>
      </w:pPr>
    </w:p>
    <w:p w:rsidR="006C3B95" w:rsidRPr="00652645" w:rsidRDefault="0026650C" w:rsidP="006C3B95">
      <w:pPr>
        <w:pStyle w:val="NoSpacing"/>
        <w:jc w:val="both"/>
        <w:rPr>
          <w:noProof/>
          <w:sz w:val="22"/>
          <w:szCs w:val="22"/>
          <w:lang w:val="sr-Latn-BA"/>
        </w:rPr>
      </w:pPr>
      <w:r w:rsidRPr="00652645">
        <w:rPr>
          <w:noProof/>
          <w:sz w:val="22"/>
          <w:szCs w:val="22"/>
          <w:lang w:val="sr-Latn-BA"/>
        </w:rPr>
        <w:t>Уз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декларацију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којој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се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роба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из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чл</w:t>
      </w:r>
      <w:r w:rsidR="006C3B95" w:rsidRPr="00652645">
        <w:rPr>
          <w:noProof/>
          <w:sz w:val="22"/>
          <w:szCs w:val="22"/>
          <w:lang w:val="sr-Latn-BA"/>
        </w:rPr>
        <w:t xml:space="preserve">. 2. </w:t>
      </w:r>
      <w:r w:rsidRPr="00652645">
        <w:rPr>
          <w:noProof/>
          <w:sz w:val="22"/>
          <w:szCs w:val="22"/>
          <w:lang w:val="sr-Latn-BA"/>
        </w:rPr>
        <w:t>и</w:t>
      </w:r>
      <w:r w:rsidR="006C3B95" w:rsidRPr="00652645">
        <w:rPr>
          <w:noProof/>
          <w:sz w:val="22"/>
          <w:szCs w:val="22"/>
          <w:lang w:val="sr-Latn-BA"/>
        </w:rPr>
        <w:t xml:space="preserve"> 3. </w:t>
      </w:r>
      <w:r w:rsidRPr="00652645">
        <w:rPr>
          <w:noProof/>
          <w:sz w:val="22"/>
          <w:szCs w:val="22"/>
          <w:lang w:val="sr-Latn-BA"/>
        </w:rPr>
        <w:t>ове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одлуке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пријављује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код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испоставе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за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одговарајуће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одобрено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поступање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или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употребу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морају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бити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приложена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сва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документа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која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су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потребна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како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при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уласку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робе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подручје</w:t>
      </w:r>
      <w:r w:rsidR="006C3B95" w:rsidRPr="00652645">
        <w:rPr>
          <w:noProof/>
          <w:sz w:val="22"/>
          <w:szCs w:val="22"/>
          <w:lang w:val="sr-Latn-BA"/>
        </w:rPr>
        <w:t xml:space="preserve"> (</w:t>
      </w:r>
      <w:r w:rsidRPr="00652645">
        <w:rPr>
          <w:noProof/>
          <w:sz w:val="22"/>
          <w:szCs w:val="22"/>
          <w:lang w:val="sr-Latn-BA"/>
        </w:rPr>
        <w:t>нпр</w:t>
      </w:r>
      <w:r w:rsidR="006C3B95" w:rsidRPr="00652645">
        <w:rPr>
          <w:noProof/>
          <w:sz w:val="22"/>
          <w:szCs w:val="22"/>
          <w:lang w:val="sr-Latn-BA"/>
        </w:rPr>
        <w:t xml:space="preserve">. </w:t>
      </w:r>
      <w:r w:rsidRPr="00652645">
        <w:rPr>
          <w:noProof/>
          <w:sz w:val="22"/>
          <w:szCs w:val="22"/>
          <w:lang w:val="sr-Latn-BA"/>
        </w:rPr>
        <w:t>одговарајуће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дозволе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документа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вези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инспекцијских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контрола</w:t>
      </w:r>
      <w:r w:rsidR="006C3B95" w:rsidRPr="00652645">
        <w:rPr>
          <w:noProof/>
          <w:sz w:val="22"/>
          <w:szCs w:val="22"/>
          <w:lang w:val="sr-Latn-BA"/>
        </w:rPr>
        <w:t xml:space="preserve">, </w:t>
      </w:r>
      <w:r w:rsidR="00C6677E" w:rsidRPr="00652645">
        <w:rPr>
          <w:noProof/>
          <w:sz w:val="22"/>
          <w:szCs w:val="22"/>
          <w:lang w:val="sr-Latn-BA"/>
        </w:rPr>
        <w:t>зави</w:t>
      </w:r>
      <w:r w:rsidR="00C6677E" w:rsidRPr="00652645">
        <w:rPr>
          <w:noProof/>
          <w:sz w:val="22"/>
          <w:szCs w:val="22"/>
          <w:lang w:val="sr-Cyrl-BA"/>
        </w:rPr>
        <w:t>сно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којој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роби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је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ријеч</w:t>
      </w:r>
      <w:r w:rsidR="006C3B95" w:rsidRPr="00652645">
        <w:rPr>
          <w:noProof/>
          <w:sz w:val="22"/>
          <w:szCs w:val="22"/>
          <w:lang w:val="sr-Latn-BA"/>
        </w:rPr>
        <w:t xml:space="preserve">, </w:t>
      </w:r>
      <w:r w:rsidRPr="00652645">
        <w:rPr>
          <w:noProof/>
          <w:sz w:val="22"/>
          <w:szCs w:val="22"/>
          <w:lang w:val="sr-Latn-BA"/>
        </w:rPr>
        <w:t>то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јест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да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ли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предметна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роба</w:t>
      </w:r>
      <w:r w:rsidR="006C3B95" w:rsidRPr="00652645">
        <w:rPr>
          <w:noProof/>
          <w:sz w:val="22"/>
          <w:szCs w:val="22"/>
          <w:lang w:val="sr-Latn-BA"/>
        </w:rPr>
        <w:t xml:space="preserve">, </w:t>
      </w:r>
      <w:r w:rsidRPr="00652645">
        <w:rPr>
          <w:noProof/>
          <w:sz w:val="22"/>
          <w:szCs w:val="22"/>
          <w:lang w:val="sr-Latn-BA"/>
        </w:rPr>
        <w:t>при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уласку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подручје</w:t>
      </w:r>
      <w:r w:rsidR="006C3B95" w:rsidRPr="00652645">
        <w:rPr>
          <w:noProof/>
          <w:sz w:val="22"/>
          <w:szCs w:val="22"/>
          <w:lang w:val="sr-Latn-BA"/>
        </w:rPr>
        <w:t xml:space="preserve">, </w:t>
      </w:r>
      <w:r w:rsidRPr="00652645">
        <w:rPr>
          <w:noProof/>
          <w:sz w:val="22"/>
          <w:szCs w:val="22"/>
          <w:lang w:val="sr-Latn-BA"/>
        </w:rPr>
        <w:t>подлијеже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дозволи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као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мјери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трговинске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политике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за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улазак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робе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подручје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или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некој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од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инспекцијских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контрола</w:t>
      </w:r>
      <w:r w:rsidR="006C3B95" w:rsidRPr="00652645">
        <w:rPr>
          <w:noProof/>
          <w:sz w:val="22"/>
          <w:szCs w:val="22"/>
          <w:lang w:val="sr-Latn-BA"/>
        </w:rPr>
        <w:t xml:space="preserve">), </w:t>
      </w:r>
      <w:r w:rsidRPr="00652645">
        <w:rPr>
          <w:noProof/>
          <w:sz w:val="22"/>
          <w:szCs w:val="22"/>
          <w:lang w:val="sr-Latn-BA"/>
        </w:rPr>
        <w:t>тако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за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одобрено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поступање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или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употребу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за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које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је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роба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пријављена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царинској</w:t>
      </w:r>
      <w:r w:rsidR="006C3B95" w:rsidRPr="00652645">
        <w:rPr>
          <w:noProof/>
          <w:sz w:val="22"/>
          <w:szCs w:val="22"/>
          <w:lang w:val="sr-Latn-BA"/>
        </w:rPr>
        <w:t xml:space="preserve"> </w:t>
      </w:r>
      <w:r w:rsidRPr="00652645">
        <w:rPr>
          <w:noProof/>
          <w:sz w:val="22"/>
          <w:szCs w:val="22"/>
          <w:lang w:val="sr-Latn-BA"/>
        </w:rPr>
        <w:t>испостави</w:t>
      </w:r>
      <w:r w:rsidR="006C3B95" w:rsidRPr="00652645">
        <w:rPr>
          <w:noProof/>
          <w:sz w:val="22"/>
          <w:szCs w:val="22"/>
          <w:lang w:val="sr-Latn-BA"/>
        </w:rPr>
        <w:t>.</w:t>
      </w:r>
    </w:p>
    <w:p w:rsidR="006C3B95" w:rsidRPr="00652645" w:rsidRDefault="006C3B95" w:rsidP="00CD1344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26650C" w:rsidRPr="00652645" w:rsidRDefault="0026650C" w:rsidP="006C3B95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505BD6" w:rsidRPr="00CF673E" w:rsidRDefault="0026650C" w:rsidP="006C3B95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Члан</w:t>
      </w:r>
      <w:r w:rsidR="006C3B95" w:rsidRPr="00CF673E">
        <w:rPr>
          <w:b/>
          <w:noProof/>
          <w:sz w:val="22"/>
          <w:szCs w:val="22"/>
          <w:lang w:val="sr-Latn-BA"/>
        </w:rPr>
        <w:t xml:space="preserve"> 5. </w:t>
      </w:r>
    </w:p>
    <w:p w:rsidR="006C3B95" w:rsidRPr="00CF673E" w:rsidRDefault="006C3B95" w:rsidP="006C3B95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(</w:t>
      </w:r>
      <w:r w:rsidR="0026650C" w:rsidRPr="00CF673E">
        <w:rPr>
          <w:b/>
          <w:noProof/>
          <w:sz w:val="22"/>
          <w:szCs w:val="22"/>
          <w:lang w:val="sr-Latn-BA"/>
        </w:rPr>
        <w:t>Међусобна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царинска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сарадња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и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вођење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евиденције</w:t>
      </w:r>
      <w:r w:rsidRPr="00CF673E">
        <w:rPr>
          <w:b/>
          <w:noProof/>
          <w:sz w:val="22"/>
          <w:szCs w:val="22"/>
          <w:lang w:val="sr-Latn-BA"/>
        </w:rPr>
        <w:t>)</w:t>
      </w:r>
    </w:p>
    <w:p w:rsidR="006C3B95" w:rsidRPr="00CF673E" w:rsidRDefault="006C3B95" w:rsidP="006C3B95">
      <w:pPr>
        <w:pStyle w:val="NoSpacing"/>
        <w:jc w:val="center"/>
        <w:rPr>
          <w:noProof/>
          <w:sz w:val="22"/>
          <w:szCs w:val="22"/>
          <w:lang w:val="sr-Latn-BA"/>
        </w:rPr>
      </w:pPr>
    </w:p>
    <w:p w:rsidR="006C3B95" w:rsidRPr="00CF673E" w:rsidRDefault="0026650C" w:rsidP="006C3B95">
      <w:pPr>
        <w:pStyle w:val="NoSpacing"/>
        <w:numPr>
          <w:ilvl w:val="0"/>
          <w:numId w:val="40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примјени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царински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преко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којег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улази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одредишна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уредиће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писаној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форми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начин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ће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обавјештавати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lastRenderedPageBreak/>
        <w:t>царинску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приспијећу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превозног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средства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прате</w:t>
      </w:r>
      <w:r w:rsidR="00505BD6" w:rsidRPr="00CF673E">
        <w:rPr>
          <w:noProof/>
          <w:sz w:val="22"/>
          <w:szCs w:val="22"/>
          <w:lang w:val="sr-Cyrl-BA"/>
        </w:rPr>
        <w:t>ћим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документ</w:t>
      </w:r>
      <w:r w:rsidR="00505BD6" w:rsidRPr="00CF673E">
        <w:rPr>
          <w:noProof/>
          <w:sz w:val="22"/>
          <w:szCs w:val="22"/>
          <w:lang w:val="sr-Cyrl-BA"/>
        </w:rPr>
        <w:t>им</w:t>
      </w:r>
      <w:r w:rsidR="00CF673E" w:rsidRPr="00CF673E">
        <w:rPr>
          <w:noProof/>
          <w:sz w:val="22"/>
          <w:szCs w:val="22"/>
          <w:lang w:val="sr-Latn-BA"/>
        </w:rPr>
        <w:t>а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начину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предаје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исте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престанку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надзора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над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стране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реферата</w:t>
      </w:r>
      <w:r w:rsidR="006C3B95" w:rsidRPr="00CF673E">
        <w:rPr>
          <w:noProof/>
          <w:sz w:val="22"/>
          <w:szCs w:val="22"/>
          <w:lang w:val="sr-Latn-BA"/>
        </w:rPr>
        <w:t>.</w:t>
      </w:r>
    </w:p>
    <w:p w:rsidR="006C3B95" w:rsidRPr="00CF673E" w:rsidRDefault="006C3B95" w:rsidP="006C3B95">
      <w:pPr>
        <w:pStyle w:val="NoSpacing"/>
        <w:ind w:left="426" w:hanging="426"/>
        <w:jc w:val="both"/>
        <w:rPr>
          <w:noProof/>
          <w:sz w:val="22"/>
          <w:szCs w:val="22"/>
          <w:lang w:val="sr-Latn-BA"/>
        </w:rPr>
      </w:pPr>
    </w:p>
    <w:p w:rsidR="006C3B95" w:rsidRPr="00CF673E" w:rsidRDefault="0026650C" w:rsidP="006C3B95">
      <w:pPr>
        <w:pStyle w:val="NoSpacing"/>
        <w:numPr>
          <w:ilvl w:val="0"/>
          <w:numId w:val="40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примјени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царински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граничним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прелазима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</w:t>
      </w:r>
      <w:r w:rsidR="006C3B95" w:rsidRPr="00CF673E">
        <w:rPr>
          <w:noProof/>
          <w:sz w:val="22"/>
          <w:szCs w:val="22"/>
          <w:lang w:val="sr-Latn-BA"/>
        </w:rPr>
        <w:t xml:space="preserve">. 2.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3. </w:t>
      </w:r>
      <w:r w:rsidRPr="00CF673E">
        <w:rPr>
          <w:noProof/>
          <w:sz w:val="22"/>
          <w:szCs w:val="22"/>
          <w:lang w:val="sr-Latn-BA"/>
        </w:rPr>
        <w:t>ове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дужни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успоставити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водити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одговарајућу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евиденцију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мора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најмање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садржавати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сљедеће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податке</w:t>
      </w:r>
      <w:r w:rsidR="006C3B95" w:rsidRPr="00CF673E">
        <w:rPr>
          <w:noProof/>
          <w:sz w:val="22"/>
          <w:szCs w:val="22"/>
          <w:lang w:val="sr-Latn-BA"/>
        </w:rPr>
        <w:t xml:space="preserve">: </w:t>
      </w:r>
      <w:r w:rsidRPr="00CF673E">
        <w:rPr>
          <w:noProof/>
          <w:sz w:val="22"/>
          <w:szCs w:val="22"/>
          <w:lang w:val="sr-Latn-BA"/>
        </w:rPr>
        <w:t>редни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број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датум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вријеме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уласка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граничном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прелазу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податке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превозном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средству</w:t>
      </w:r>
      <w:r w:rsidR="006C3B95" w:rsidRPr="00CF673E">
        <w:rPr>
          <w:noProof/>
          <w:sz w:val="22"/>
          <w:szCs w:val="22"/>
          <w:lang w:val="sr-Latn-BA"/>
        </w:rPr>
        <w:t xml:space="preserve"> (</w:t>
      </w:r>
      <w:r w:rsidRPr="00CF673E">
        <w:rPr>
          <w:noProof/>
          <w:sz w:val="22"/>
          <w:szCs w:val="22"/>
          <w:lang w:val="sr-Latn-BA"/>
        </w:rPr>
        <w:t>регистарске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ознаке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вучног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прикључног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возила</w:t>
      </w:r>
      <w:r w:rsidR="006C3B95" w:rsidRPr="00CF673E">
        <w:rPr>
          <w:noProof/>
          <w:sz w:val="22"/>
          <w:szCs w:val="22"/>
          <w:lang w:val="sr-Latn-BA"/>
        </w:rPr>
        <w:t xml:space="preserve">), </w:t>
      </w:r>
      <w:r w:rsidRPr="00CF673E">
        <w:rPr>
          <w:noProof/>
          <w:sz w:val="22"/>
          <w:szCs w:val="22"/>
          <w:lang w:val="sr-Latn-BA"/>
        </w:rPr>
        <w:t>трговачки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назив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робе</w:t>
      </w:r>
      <w:r w:rsidR="006C3B95" w:rsidRPr="00CF673E">
        <w:rPr>
          <w:noProof/>
          <w:sz w:val="22"/>
          <w:szCs w:val="22"/>
          <w:lang w:val="sr-Latn-BA"/>
        </w:rPr>
        <w:t xml:space="preserve"> (</w:t>
      </w:r>
      <w:r w:rsidRPr="00CF673E">
        <w:rPr>
          <w:noProof/>
          <w:sz w:val="22"/>
          <w:szCs w:val="22"/>
          <w:lang w:val="sr-Latn-BA"/>
        </w:rPr>
        <w:t>ако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питању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више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може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уписати</w:t>
      </w:r>
      <w:r w:rsidR="006C3B95" w:rsidRPr="00CF673E">
        <w:rPr>
          <w:noProof/>
          <w:sz w:val="22"/>
          <w:szCs w:val="22"/>
          <w:lang w:val="sr-Latn-BA"/>
        </w:rPr>
        <w:t>: ''</w:t>
      </w:r>
      <w:r w:rsidRPr="00CF673E">
        <w:rPr>
          <w:noProof/>
          <w:sz w:val="22"/>
          <w:szCs w:val="22"/>
          <w:lang w:val="sr-Latn-BA"/>
        </w:rPr>
        <w:t>роба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фактуре</w:t>
      </w:r>
      <w:r w:rsidR="006C3B95" w:rsidRPr="00CF673E">
        <w:rPr>
          <w:noProof/>
          <w:sz w:val="22"/>
          <w:szCs w:val="22"/>
          <w:lang w:val="sr-Latn-BA"/>
        </w:rPr>
        <w:t xml:space="preserve"> .....'')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бруто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масу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робе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број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датум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ЦМР</w:t>
      </w:r>
      <w:r w:rsidR="006C3B95" w:rsidRPr="00CF673E">
        <w:rPr>
          <w:noProof/>
          <w:sz w:val="22"/>
          <w:szCs w:val="22"/>
          <w:lang w:val="sr-Latn-BA"/>
        </w:rPr>
        <w:t>-</w:t>
      </w:r>
      <w:r w:rsidRPr="00CF673E">
        <w:rPr>
          <w:noProof/>
          <w:sz w:val="22"/>
          <w:szCs w:val="22"/>
          <w:lang w:val="sr-Latn-BA"/>
        </w:rPr>
        <w:t>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фактуре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податке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увознику</w:t>
      </w:r>
      <w:r w:rsidR="006C3B95" w:rsidRPr="00CF673E">
        <w:rPr>
          <w:noProof/>
          <w:sz w:val="22"/>
          <w:szCs w:val="22"/>
          <w:lang w:val="sr-Latn-BA"/>
        </w:rPr>
        <w:t>/</w:t>
      </w:r>
      <w:r w:rsidRPr="00CF673E">
        <w:rPr>
          <w:noProof/>
          <w:sz w:val="22"/>
          <w:szCs w:val="22"/>
          <w:lang w:val="sr-Latn-BA"/>
        </w:rPr>
        <w:t>примаоцу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робе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податке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шпедицији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предаје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документа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гдје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примјенљиво</w:t>
      </w:r>
      <w:r w:rsidR="006C3B95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датум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вријеме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обавјештавања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приспијећу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превозног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средства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пратећом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документацијом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податке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службеницима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учествују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тој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радњи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њихове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потписе</w:t>
      </w:r>
      <w:r w:rsidR="006C3B95" w:rsidRPr="00CF673E">
        <w:rPr>
          <w:noProof/>
          <w:sz w:val="22"/>
          <w:szCs w:val="22"/>
          <w:lang w:val="sr-Latn-BA"/>
        </w:rPr>
        <w:t xml:space="preserve"> (</w:t>
      </w:r>
      <w:r w:rsidRPr="00CF673E">
        <w:rPr>
          <w:noProof/>
          <w:sz w:val="22"/>
          <w:szCs w:val="22"/>
          <w:lang w:val="sr-Latn-BA"/>
        </w:rPr>
        <w:t>податке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за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службенике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њихове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потписе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гдје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примјенљиво</w:t>
      </w:r>
      <w:r w:rsidR="006C3B95" w:rsidRPr="00CF673E">
        <w:rPr>
          <w:noProof/>
          <w:sz w:val="22"/>
          <w:szCs w:val="22"/>
          <w:lang w:val="sr-Latn-BA"/>
        </w:rPr>
        <w:t xml:space="preserve">), </w:t>
      </w:r>
      <w:r w:rsidRPr="00CF673E">
        <w:rPr>
          <w:noProof/>
          <w:sz w:val="22"/>
          <w:szCs w:val="22"/>
          <w:lang w:val="sr-Latn-BA"/>
        </w:rPr>
        <w:t>податке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броју</w:t>
      </w:r>
      <w:r w:rsidR="006C3B95" w:rsidRPr="00CF673E">
        <w:rPr>
          <w:noProof/>
          <w:sz w:val="22"/>
          <w:szCs w:val="22"/>
          <w:lang w:val="sr-Latn-BA"/>
        </w:rPr>
        <w:t xml:space="preserve"> (</w:t>
      </w:r>
      <w:r w:rsidR="00CF673E" w:rsidRPr="00CF673E">
        <w:rPr>
          <w:noProof/>
          <w:sz w:val="22"/>
          <w:szCs w:val="22"/>
          <w:lang w:val="sr-Latn-BA"/>
        </w:rPr>
        <w:t>МРН</w:t>
      </w:r>
      <w:r w:rsidR="006C3B95" w:rsidRPr="00CF673E">
        <w:rPr>
          <w:noProof/>
          <w:sz w:val="22"/>
          <w:szCs w:val="22"/>
          <w:lang w:val="sr-Latn-BA"/>
        </w:rPr>
        <w:t xml:space="preserve">)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датуму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="00505BD6" w:rsidRPr="00CF673E">
        <w:rPr>
          <w:noProof/>
          <w:sz w:val="22"/>
          <w:szCs w:val="22"/>
          <w:lang w:val="sr-Cyrl-BA"/>
        </w:rPr>
        <w:t xml:space="preserve">декларације </w:t>
      </w:r>
      <w:r w:rsidRPr="00CF673E">
        <w:rPr>
          <w:noProof/>
          <w:sz w:val="22"/>
          <w:szCs w:val="22"/>
          <w:lang w:val="sr-Latn-BA"/>
        </w:rPr>
        <w:t>по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којој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стављена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одговарајуће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одобрено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поступање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или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употребу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царинској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испостави</w:t>
      </w:r>
      <w:r w:rsidR="006C3B95" w:rsidRPr="00CF673E">
        <w:rPr>
          <w:noProof/>
          <w:sz w:val="22"/>
          <w:szCs w:val="22"/>
          <w:lang w:val="sr-Latn-BA"/>
        </w:rPr>
        <w:t>.</w:t>
      </w:r>
    </w:p>
    <w:p w:rsidR="006C3B95" w:rsidRPr="00CF673E" w:rsidRDefault="006C3B95" w:rsidP="006C3B95">
      <w:pPr>
        <w:pStyle w:val="ListParagraph"/>
        <w:rPr>
          <w:noProof/>
          <w:sz w:val="22"/>
          <w:szCs w:val="22"/>
          <w:lang w:val="sr-Latn-BA"/>
        </w:rPr>
      </w:pPr>
    </w:p>
    <w:p w:rsidR="006C3B95" w:rsidRPr="00CF673E" w:rsidRDefault="0026650C" w:rsidP="006C3B95">
      <w:pPr>
        <w:pStyle w:val="NoSpacing"/>
        <w:numPr>
          <w:ilvl w:val="0"/>
          <w:numId w:val="40"/>
        </w:numPr>
        <w:ind w:left="426" w:hanging="426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Царински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реферати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граничном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прелазу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</w:t>
      </w:r>
      <w:r w:rsidR="006C3B95" w:rsidRPr="00CF673E">
        <w:rPr>
          <w:noProof/>
          <w:sz w:val="22"/>
          <w:szCs w:val="22"/>
          <w:lang w:val="sr-Latn-BA"/>
        </w:rPr>
        <w:t xml:space="preserve">. 2.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3. </w:t>
      </w:r>
      <w:r w:rsidRPr="00CF673E">
        <w:rPr>
          <w:noProof/>
          <w:sz w:val="22"/>
          <w:szCs w:val="22"/>
          <w:lang w:val="sr-Latn-BA"/>
        </w:rPr>
        <w:t>ове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дужни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успоставити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сву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неопходну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међусобну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сарадњу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комуникацију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ће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им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омогућити</w:t>
      </w:r>
      <w:r w:rsidR="007039E9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правилно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="007039E9">
        <w:rPr>
          <w:noProof/>
          <w:sz w:val="22"/>
          <w:szCs w:val="22"/>
          <w:lang w:val="sr-Cyrl-BA"/>
        </w:rPr>
        <w:t xml:space="preserve">и </w:t>
      </w:r>
      <w:r w:rsidR="007039E9" w:rsidRPr="00CF673E">
        <w:rPr>
          <w:noProof/>
          <w:sz w:val="22"/>
          <w:szCs w:val="22"/>
          <w:lang w:val="sr-Latn-BA"/>
        </w:rPr>
        <w:t xml:space="preserve">ефикасно </w:t>
      </w:r>
      <w:r w:rsidRPr="00CF673E">
        <w:rPr>
          <w:noProof/>
          <w:sz w:val="22"/>
          <w:szCs w:val="22"/>
          <w:lang w:val="sr-Latn-BA"/>
        </w:rPr>
        <w:t>поступање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примјени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контролу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тог</w:t>
      </w:r>
      <w:r w:rsidR="006C3B95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поступања</w:t>
      </w:r>
      <w:r w:rsidR="006C3B95" w:rsidRPr="00CF673E">
        <w:rPr>
          <w:noProof/>
          <w:sz w:val="22"/>
          <w:szCs w:val="22"/>
          <w:lang w:val="sr-Latn-BA"/>
        </w:rPr>
        <w:t>.</w:t>
      </w:r>
    </w:p>
    <w:p w:rsidR="006C3B95" w:rsidRPr="00CF673E" w:rsidRDefault="006C3B95" w:rsidP="00CD1344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6C3B95" w:rsidRPr="00CF673E" w:rsidRDefault="006C3B95" w:rsidP="00CD1344">
      <w:pPr>
        <w:pStyle w:val="NoSpacing"/>
        <w:jc w:val="center"/>
        <w:rPr>
          <w:b/>
          <w:noProof/>
          <w:sz w:val="22"/>
          <w:szCs w:val="22"/>
          <w:lang w:val="sr-Latn-BA"/>
        </w:rPr>
      </w:pPr>
    </w:p>
    <w:p w:rsidR="00975DED" w:rsidRPr="00CF673E" w:rsidRDefault="0026650C" w:rsidP="00CD1344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Члан</w:t>
      </w:r>
      <w:r w:rsidR="00975DED" w:rsidRPr="00CF673E">
        <w:rPr>
          <w:b/>
          <w:noProof/>
          <w:sz w:val="22"/>
          <w:szCs w:val="22"/>
          <w:lang w:val="sr-Latn-BA"/>
        </w:rPr>
        <w:t xml:space="preserve"> </w:t>
      </w:r>
      <w:r w:rsidR="006C3B95" w:rsidRPr="00CF673E">
        <w:rPr>
          <w:b/>
          <w:noProof/>
          <w:sz w:val="22"/>
          <w:szCs w:val="22"/>
          <w:lang w:val="sr-Latn-BA"/>
        </w:rPr>
        <w:t>6.</w:t>
      </w:r>
    </w:p>
    <w:p w:rsidR="00975DED" w:rsidRPr="00CF673E" w:rsidRDefault="00D73C1A" w:rsidP="00D73C1A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(</w:t>
      </w:r>
      <w:r w:rsidR="0026650C" w:rsidRPr="00CF673E">
        <w:rPr>
          <w:b/>
          <w:noProof/>
          <w:sz w:val="22"/>
          <w:szCs w:val="22"/>
          <w:lang w:val="sr-Latn-BA"/>
        </w:rPr>
        <w:t>Изузеци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од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примјене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ове</w:t>
      </w:r>
      <w:r w:rsidRPr="00CF673E">
        <w:rPr>
          <w:b/>
          <w:noProof/>
          <w:sz w:val="22"/>
          <w:szCs w:val="22"/>
          <w:lang w:val="sr-Latn-BA"/>
        </w:rPr>
        <w:t xml:space="preserve"> </w:t>
      </w:r>
      <w:r w:rsidR="0026650C" w:rsidRPr="00CF673E">
        <w:rPr>
          <w:b/>
          <w:noProof/>
          <w:sz w:val="22"/>
          <w:szCs w:val="22"/>
          <w:lang w:val="sr-Latn-BA"/>
        </w:rPr>
        <w:t>одлуке</w:t>
      </w:r>
      <w:r w:rsidRPr="00CF673E">
        <w:rPr>
          <w:b/>
          <w:noProof/>
          <w:sz w:val="22"/>
          <w:szCs w:val="22"/>
          <w:lang w:val="sr-Latn-BA"/>
        </w:rPr>
        <w:t>)</w:t>
      </w:r>
    </w:p>
    <w:p w:rsidR="00D73C1A" w:rsidRPr="00CF673E" w:rsidRDefault="00D73C1A" w:rsidP="00D73C1A">
      <w:pPr>
        <w:pStyle w:val="NoSpacing"/>
        <w:jc w:val="center"/>
        <w:rPr>
          <w:noProof/>
          <w:sz w:val="22"/>
          <w:szCs w:val="22"/>
          <w:lang w:val="sr-Latn-BA"/>
        </w:rPr>
      </w:pPr>
    </w:p>
    <w:p w:rsidR="00F36507" w:rsidRPr="00CF673E" w:rsidRDefault="0026650C" w:rsidP="009C5C3D">
      <w:pPr>
        <w:pStyle w:val="NoSpacing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Ова</w:t>
      </w:r>
      <w:r w:rsidR="00233C5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одлука</w:t>
      </w:r>
      <w:r w:rsidR="00233C5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примјењује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233C5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када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је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случајевима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из</w:t>
      </w:r>
      <w:r w:rsidR="00233C5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чл</w:t>
      </w:r>
      <w:r w:rsidR="00233C5B" w:rsidRPr="00CF673E">
        <w:rPr>
          <w:noProof/>
          <w:sz w:val="22"/>
          <w:szCs w:val="22"/>
          <w:lang w:val="sr-Latn-BA"/>
        </w:rPr>
        <w:t xml:space="preserve">. 2. </w:t>
      </w:r>
      <w:r w:rsidRPr="00CF673E">
        <w:rPr>
          <w:noProof/>
          <w:sz w:val="22"/>
          <w:szCs w:val="22"/>
          <w:lang w:val="sr-Latn-BA"/>
        </w:rPr>
        <w:t>и</w:t>
      </w:r>
      <w:r w:rsidR="00233C5B" w:rsidRPr="00CF673E">
        <w:rPr>
          <w:noProof/>
          <w:sz w:val="22"/>
          <w:szCs w:val="22"/>
          <w:lang w:val="sr-Latn-BA"/>
        </w:rPr>
        <w:t xml:space="preserve"> 3. </w:t>
      </w:r>
      <w:r w:rsidRPr="00CF673E">
        <w:rPr>
          <w:noProof/>
          <w:sz w:val="22"/>
          <w:szCs w:val="22"/>
          <w:lang w:val="sr-Latn-BA"/>
        </w:rPr>
        <w:t>ове</w:t>
      </w:r>
      <w:r w:rsidR="00233C5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233C5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роба</w:t>
      </w:r>
      <w:r w:rsidR="008C7A30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која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улази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царинско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подручје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друмско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моторно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прикључно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возило</w:t>
      </w:r>
      <w:r w:rsidR="00F36507" w:rsidRPr="00CF673E">
        <w:rPr>
          <w:noProof/>
          <w:sz w:val="22"/>
          <w:szCs w:val="22"/>
          <w:lang w:val="sr-Latn-BA"/>
        </w:rPr>
        <w:t xml:space="preserve">, </w:t>
      </w:r>
      <w:r w:rsidRPr="00CF673E">
        <w:rPr>
          <w:noProof/>
          <w:sz w:val="22"/>
          <w:szCs w:val="22"/>
          <w:lang w:val="sr-Latn-BA"/>
        </w:rPr>
        <w:t>у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ком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случају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подноси</w:t>
      </w:r>
      <w:r w:rsidR="00F3650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провозна</w:t>
      </w:r>
      <w:r w:rsidR="00233C5B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декларација</w:t>
      </w:r>
      <w:r w:rsidR="00233C5B" w:rsidRPr="00CF673E">
        <w:rPr>
          <w:noProof/>
          <w:sz w:val="22"/>
          <w:szCs w:val="22"/>
          <w:lang w:val="sr-Latn-BA"/>
        </w:rPr>
        <w:t xml:space="preserve">. </w:t>
      </w:r>
    </w:p>
    <w:p w:rsidR="00C124F1" w:rsidRPr="00CF673E" w:rsidRDefault="00C124F1" w:rsidP="009C5C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E14597" w:rsidRPr="00CF673E" w:rsidRDefault="00E14597" w:rsidP="00974535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E14597" w:rsidRPr="00CF673E" w:rsidRDefault="0026650C" w:rsidP="00974535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Члан</w:t>
      </w:r>
      <w:r w:rsidR="00001EDF" w:rsidRPr="00CF673E">
        <w:rPr>
          <w:b/>
          <w:noProof/>
          <w:sz w:val="22"/>
          <w:szCs w:val="22"/>
          <w:lang w:val="sr-Latn-BA"/>
        </w:rPr>
        <w:t xml:space="preserve"> </w:t>
      </w:r>
      <w:r w:rsidR="006C3B95" w:rsidRPr="00CF673E">
        <w:rPr>
          <w:b/>
          <w:noProof/>
          <w:sz w:val="22"/>
          <w:szCs w:val="22"/>
          <w:lang w:val="sr-Latn-BA"/>
        </w:rPr>
        <w:t>7.</w:t>
      </w:r>
    </w:p>
    <w:p w:rsidR="00E14597" w:rsidRPr="00CF673E" w:rsidRDefault="0026650C" w:rsidP="0026650C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(Престанак важења)</w:t>
      </w:r>
    </w:p>
    <w:p w:rsidR="0026650C" w:rsidRPr="00CF673E" w:rsidRDefault="0026650C" w:rsidP="0026650C">
      <w:pPr>
        <w:pStyle w:val="NoSpacing"/>
        <w:jc w:val="center"/>
        <w:rPr>
          <w:noProof/>
          <w:sz w:val="22"/>
          <w:szCs w:val="22"/>
          <w:lang w:val="sr-Latn-BA"/>
        </w:rPr>
      </w:pPr>
    </w:p>
    <w:p w:rsidR="0077384D" w:rsidRPr="00CF673E" w:rsidRDefault="0026650C" w:rsidP="00974535">
      <w:pPr>
        <w:pStyle w:val="NoSpacing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Ступањем</w:t>
      </w:r>
      <w:r w:rsidR="00E14597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снагу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ове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одлуке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престаје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важити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посебним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случајевима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у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којима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не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подноси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провозна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пријава</w:t>
      </w:r>
      <w:r w:rsidR="0077384D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број</w:t>
      </w:r>
      <w:r w:rsidR="0077384D" w:rsidRPr="00CF673E">
        <w:rPr>
          <w:noProof/>
          <w:sz w:val="22"/>
          <w:szCs w:val="22"/>
          <w:lang w:val="sr-Latn-BA"/>
        </w:rPr>
        <w:t xml:space="preserve">: 01-02-2-1223-1/20 </w:t>
      </w:r>
      <w:r w:rsidRPr="00CF673E">
        <w:rPr>
          <w:noProof/>
          <w:sz w:val="22"/>
          <w:szCs w:val="22"/>
          <w:lang w:val="sr-Latn-BA"/>
        </w:rPr>
        <w:t>од</w:t>
      </w:r>
      <w:r w:rsidR="0077384D" w:rsidRPr="00CF673E">
        <w:rPr>
          <w:noProof/>
          <w:sz w:val="22"/>
          <w:szCs w:val="22"/>
          <w:lang w:val="sr-Latn-BA"/>
        </w:rPr>
        <w:t xml:space="preserve"> 07.05.2020., 01-02-2-1223-3/20 </w:t>
      </w:r>
      <w:r w:rsidRPr="00CF673E">
        <w:rPr>
          <w:noProof/>
          <w:sz w:val="22"/>
          <w:szCs w:val="22"/>
          <w:lang w:val="sr-Latn-BA"/>
        </w:rPr>
        <w:t>од</w:t>
      </w:r>
      <w:r w:rsidR="00436E68" w:rsidRPr="00CF673E">
        <w:rPr>
          <w:noProof/>
          <w:sz w:val="22"/>
          <w:szCs w:val="22"/>
          <w:lang w:val="sr-Latn-BA"/>
        </w:rPr>
        <w:t xml:space="preserve"> 08.05.2020. </w:t>
      </w:r>
      <w:r w:rsidRPr="00CF673E">
        <w:rPr>
          <w:noProof/>
          <w:sz w:val="22"/>
          <w:szCs w:val="22"/>
          <w:lang w:val="sr-Latn-BA"/>
        </w:rPr>
        <w:t>и</w:t>
      </w:r>
      <w:r w:rsidR="00436E68" w:rsidRPr="00CF673E">
        <w:rPr>
          <w:noProof/>
          <w:sz w:val="22"/>
          <w:szCs w:val="22"/>
          <w:lang w:val="sr-Latn-BA"/>
        </w:rPr>
        <w:t xml:space="preserve"> 01-02</w:t>
      </w:r>
      <w:r w:rsidR="00C06F6A">
        <w:rPr>
          <w:noProof/>
          <w:sz w:val="22"/>
          <w:szCs w:val="22"/>
          <w:lang w:val="sr-Latn-BA"/>
        </w:rPr>
        <w:t>-</w:t>
      </w:r>
      <w:r w:rsidR="00436E68" w:rsidRPr="00CF673E">
        <w:rPr>
          <w:noProof/>
          <w:sz w:val="22"/>
          <w:szCs w:val="22"/>
          <w:lang w:val="sr-Latn-BA"/>
        </w:rPr>
        <w:t xml:space="preserve">2-694-1/22 </w:t>
      </w:r>
      <w:r w:rsidRPr="00CF673E">
        <w:rPr>
          <w:noProof/>
          <w:sz w:val="22"/>
          <w:szCs w:val="22"/>
          <w:lang w:val="sr-Latn-BA"/>
        </w:rPr>
        <w:t>од</w:t>
      </w:r>
      <w:r w:rsidR="00436E68" w:rsidRPr="00CF673E">
        <w:rPr>
          <w:noProof/>
          <w:sz w:val="22"/>
          <w:szCs w:val="22"/>
          <w:lang w:val="sr-Latn-BA"/>
        </w:rPr>
        <w:t xml:space="preserve"> 03.03.2022. </w:t>
      </w:r>
      <w:r w:rsidRPr="00CF673E">
        <w:rPr>
          <w:noProof/>
          <w:sz w:val="22"/>
          <w:szCs w:val="22"/>
          <w:lang w:val="sr-Latn-BA"/>
        </w:rPr>
        <w:t>године</w:t>
      </w:r>
      <w:r w:rsidR="00436E68" w:rsidRPr="00CF673E">
        <w:rPr>
          <w:noProof/>
          <w:sz w:val="22"/>
          <w:szCs w:val="22"/>
          <w:lang w:val="sr-Latn-BA"/>
        </w:rPr>
        <w:t xml:space="preserve">. </w:t>
      </w:r>
    </w:p>
    <w:p w:rsidR="0077384D" w:rsidRPr="00CF673E" w:rsidRDefault="0077384D" w:rsidP="00974535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A7D8D" w:rsidRPr="00CF673E" w:rsidRDefault="002A7D8D" w:rsidP="00974535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6C3B95" w:rsidRPr="00652645" w:rsidRDefault="0026650C" w:rsidP="006C3B95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652645">
        <w:rPr>
          <w:b/>
          <w:noProof/>
          <w:sz w:val="22"/>
          <w:szCs w:val="22"/>
          <w:lang w:val="sr-Latn-BA"/>
        </w:rPr>
        <w:t>Члан</w:t>
      </w:r>
      <w:r w:rsidR="00652645" w:rsidRPr="00652645">
        <w:rPr>
          <w:b/>
          <w:noProof/>
          <w:sz w:val="22"/>
          <w:szCs w:val="22"/>
          <w:lang w:val="sr-Latn-BA"/>
        </w:rPr>
        <w:t xml:space="preserve"> </w:t>
      </w:r>
      <w:r w:rsidR="006C3B95" w:rsidRPr="00652645">
        <w:rPr>
          <w:b/>
          <w:noProof/>
          <w:sz w:val="22"/>
          <w:szCs w:val="22"/>
          <w:lang w:val="sr-Latn-BA"/>
        </w:rPr>
        <w:t>8.</w:t>
      </w:r>
    </w:p>
    <w:p w:rsidR="00001EDF" w:rsidRPr="00CF673E" w:rsidRDefault="0026650C" w:rsidP="00001EDF">
      <w:pPr>
        <w:pStyle w:val="NoSpacing"/>
        <w:jc w:val="center"/>
        <w:rPr>
          <w:b/>
          <w:noProof/>
          <w:sz w:val="22"/>
          <w:szCs w:val="22"/>
          <w:lang w:val="sr-Latn-BA"/>
        </w:rPr>
      </w:pPr>
      <w:r w:rsidRPr="00CF673E">
        <w:rPr>
          <w:b/>
          <w:noProof/>
          <w:sz w:val="22"/>
          <w:szCs w:val="22"/>
          <w:lang w:val="sr-Latn-BA"/>
        </w:rPr>
        <w:t>(Ступање на снагу)</w:t>
      </w:r>
    </w:p>
    <w:p w:rsidR="0026650C" w:rsidRPr="00CF673E" w:rsidRDefault="0026650C" w:rsidP="0026650C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F35C92" w:rsidRPr="00CF673E" w:rsidRDefault="0026650C" w:rsidP="00974535">
      <w:pPr>
        <w:pStyle w:val="NoSpacing"/>
        <w:jc w:val="both"/>
        <w:rPr>
          <w:noProof/>
          <w:sz w:val="22"/>
          <w:szCs w:val="22"/>
          <w:lang w:val="sr-Latn-BA"/>
        </w:rPr>
      </w:pPr>
      <w:r w:rsidRPr="00CF673E">
        <w:rPr>
          <w:noProof/>
          <w:sz w:val="22"/>
          <w:szCs w:val="22"/>
          <w:lang w:val="sr-Latn-BA"/>
        </w:rPr>
        <w:t>Ова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одлука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ступа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на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снагу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даном</w:t>
      </w:r>
      <w:r w:rsidR="004D0034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почетка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рада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Царинске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испоставе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Братунац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="0091381D" w:rsidRPr="00CF673E">
        <w:rPr>
          <w:rFonts w:eastAsia="Calibri"/>
          <w:iCs/>
          <w:noProof/>
          <w:sz w:val="22"/>
          <w:szCs w:val="22"/>
          <w:lang w:val="sr-Latn-BA"/>
        </w:rPr>
        <w:t xml:space="preserve">на локацији </w:t>
      </w:r>
      <w:r w:rsidR="00F00BAA">
        <w:rPr>
          <w:rFonts w:eastAsia="Calibri"/>
          <w:iCs/>
          <w:noProof/>
          <w:sz w:val="22"/>
          <w:szCs w:val="22"/>
          <w:lang w:val="sr-Cyrl-BA"/>
        </w:rPr>
        <w:t>г</w:t>
      </w:r>
      <w:r w:rsidR="0091381D" w:rsidRPr="00CF673E">
        <w:rPr>
          <w:rFonts w:eastAsia="Calibri"/>
          <w:iCs/>
          <w:noProof/>
          <w:sz w:val="22"/>
          <w:szCs w:val="22"/>
          <w:lang w:val="sr-Latn-BA"/>
        </w:rPr>
        <w:t>ранично</w:t>
      </w:r>
      <w:r w:rsidR="0091381D" w:rsidRPr="00CF673E">
        <w:rPr>
          <w:rFonts w:eastAsia="Calibri"/>
          <w:iCs/>
          <w:noProof/>
          <w:sz w:val="22"/>
          <w:szCs w:val="22"/>
          <w:lang w:val="sr-Cyrl-BA"/>
        </w:rPr>
        <w:t>г</w:t>
      </w:r>
      <w:r w:rsidR="0091381D" w:rsidRPr="00CF673E">
        <w:rPr>
          <w:rFonts w:eastAsia="Calibri"/>
          <w:iCs/>
          <w:noProof/>
          <w:sz w:val="22"/>
          <w:szCs w:val="22"/>
          <w:lang w:val="sr-Latn-BA"/>
        </w:rPr>
        <w:t xml:space="preserve"> прелаза Братунац</w:t>
      </w:r>
      <w:r w:rsidR="0091381D" w:rsidRPr="00CF673E">
        <w:rPr>
          <w:rFonts w:eastAsia="Calibri"/>
          <w:iCs/>
          <w:noProof/>
          <w:sz w:val="22"/>
          <w:szCs w:val="22"/>
          <w:lang w:val="sr-Cyrl-BA"/>
        </w:rPr>
        <w:t xml:space="preserve"> </w:t>
      </w:r>
      <w:r w:rsidR="0091381D" w:rsidRPr="00CF673E">
        <w:rPr>
          <w:rFonts w:eastAsia="Calibri"/>
          <w:iCs/>
          <w:noProof/>
          <w:sz w:val="22"/>
          <w:szCs w:val="22"/>
          <w:lang w:val="sr-Latn-BA"/>
        </w:rPr>
        <w:t>(Нови мост)</w:t>
      </w:r>
      <w:r w:rsidR="00436E68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и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објављује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noProof/>
          <w:sz w:val="22"/>
          <w:szCs w:val="22"/>
          <w:lang w:val="sr-Latn-BA"/>
        </w:rPr>
        <w:t>се</w:t>
      </w:r>
      <w:r w:rsidR="00001EDF" w:rsidRPr="00CF673E">
        <w:rPr>
          <w:noProof/>
          <w:sz w:val="22"/>
          <w:szCs w:val="22"/>
          <w:lang w:val="sr-Latn-BA"/>
        </w:rPr>
        <w:t xml:space="preserve"> </w:t>
      </w:r>
      <w:r w:rsidRPr="00CF673E">
        <w:rPr>
          <w:rFonts w:eastAsia="Calibri"/>
          <w:noProof/>
          <w:sz w:val="22"/>
          <w:szCs w:val="22"/>
          <w:lang w:val="sr-Latn-BA"/>
        </w:rPr>
        <w:t>на</w:t>
      </w:r>
      <w:r w:rsidR="00671632">
        <w:rPr>
          <w:rFonts w:eastAsia="Calibri"/>
          <w:noProof/>
          <w:sz w:val="22"/>
          <w:szCs w:val="22"/>
          <w:lang w:val="sr-Latn-BA"/>
        </w:rPr>
        <w:t xml:space="preserve"> web </w:t>
      </w:r>
      <w:r w:rsidRPr="00CF673E">
        <w:rPr>
          <w:rFonts w:eastAsia="Calibri"/>
          <w:noProof/>
          <w:sz w:val="22"/>
          <w:szCs w:val="22"/>
          <w:lang w:val="sr-Latn-BA"/>
        </w:rPr>
        <w:t>страници</w:t>
      </w:r>
      <w:r w:rsidR="00EA0D83" w:rsidRPr="00CF673E">
        <w:rPr>
          <w:rFonts w:eastAsia="Calibri"/>
          <w:noProof/>
          <w:sz w:val="22"/>
          <w:szCs w:val="22"/>
          <w:lang w:val="sr-Latn-BA"/>
        </w:rPr>
        <w:t xml:space="preserve"> </w:t>
      </w:r>
      <w:r w:rsidRPr="00CF673E">
        <w:rPr>
          <w:rFonts w:eastAsia="Calibri"/>
          <w:noProof/>
          <w:sz w:val="22"/>
          <w:szCs w:val="22"/>
          <w:lang w:val="sr-Latn-BA"/>
        </w:rPr>
        <w:t>УИО</w:t>
      </w:r>
      <w:r w:rsidR="00EA0D83" w:rsidRPr="00CF673E">
        <w:rPr>
          <w:rFonts w:eastAsia="Calibri"/>
          <w:noProof/>
          <w:sz w:val="22"/>
          <w:szCs w:val="22"/>
          <w:lang w:val="sr-Latn-BA"/>
        </w:rPr>
        <w:t>:</w:t>
      </w:r>
      <w:r w:rsidR="00EA0D83" w:rsidRPr="00204AF6">
        <w:rPr>
          <w:rFonts w:eastAsia="Calibri"/>
          <w:noProof/>
          <w:sz w:val="22"/>
          <w:szCs w:val="22"/>
          <w:lang w:val="sr-Latn-BA"/>
        </w:rPr>
        <w:t xml:space="preserve"> </w:t>
      </w:r>
      <w:hyperlink r:id="rId7" w:history="1">
        <w:r w:rsidR="00EA0D83" w:rsidRPr="00CF673E">
          <w:rPr>
            <w:rFonts w:eastAsia="Calibri"/>
            <w:noProof/>
            <w:color w:val="0000FF"/>
            <w:sz w:val="22"/>
            <w:szCs w:val="22"/>
            <w:u w:val="single"/>
            <w:lang w:val="sr-Latn-BA"/>
          </w:rPr>
          <w:t>www.</w:t>
        </w:r>
        <w:r w:rsidR="00652645">
          <w:rPr>
            <w:rFonts w:eastAsia="Calibri"/>
            <w:noProof/>
            <w:color w:val="0000FF"/>
            <w:sz w:val="22"/>
            <w:szCs w:val="22"/>
            <w:u w:val="single"/>
            <w:lang w:val="sr-Latn-BA"/>
          </w:rPr>
          <w:t>uino</w:t>
        </w:r>
        <w:r w:rsidR="00EA0D83" w:rsidRPr="00CF673E">
          <w:rPr>
            <w:rFonts w:eastAsia="Calibri"/>
            <w:noProof/>
            <w:color w:val="0000FF"/>
            <w:sz w:val="22"/>
            <w:szCs w:val="22"/>
            <w:u w:val="single"/>
            <w:lang w:val="sr-Latn-BA"/>
          </w:rPr>
          <w:t>.</w:t>
        </w:r>
        <w:r w:rsidR="00652645">
          <w:rPr>
            <w:rFonts w:eastAsia="Calibri"/>
            <w:noProof/>
            <w:color w:val="0000FF"/>
            <w:sz w:val="22"/>
            <w:szCs w:val="22"/>
            <w:u w:val="single"/>
            <w:lang w:val="sr-Latn-BA"/>
          </w:rPr>
          <w:t>gov</w:t>
        </w:r>
        <w:r w:rsidR="00EA0D83" w:rsidRPr="00CF673E">
          <w:rPr>
            <w:rFonts w:eastAsia="Calibri"/>
            <w:noProof/>
            <w:color w:val="0000FF"/>
            <w:sz w:val="22"/>
            <w:szCs w:val="22"/>
            <w:u w:val="single"/>
            <w:lang w:val="sr-Latn-BA"/>
          </w:rPr>
          <w:t>.</w:t>
        </w:r>
        <w:r w:rsidR="00652645">
          <w:rPr>
            <w:rFonts w:eastAsia="Calibri"/>
            <w:noProof/>
            <w:color w:val="0000FF"/>
            <w:sz w:val="22"/>
            <w:szCs w:val="22"/>
            <w:u w:val="single"/>
            <w:lang w:val="sr-Latn-BA"/>
          </w:rPr>
          <w:t>ba</w:t>
        </w:r>
      </w:hyperlink>
      <w:r w:rsidR="00EA0D83" w:rsidRPr="00CF673E">
        <w:rPr>
          <w:rFonts w:eastAsia="Calibri"/>
          <w:noProof/>
          <w:sz w:val="22"/>
          <w:szCs w:val="22"/>
          <w:lang w:val="sr-Latn-BA"/>
        </w:rPr>
        <w:t xml:space="preserve"> </w:t>
      </w:r>
      <w:r w:rsidRPr="00CF673E">
        <w:rPr>
          <w:rFonts w:eastAsia="Calibri"/>
          <w:noProof/>
          <w:sz w:val="22"/>
          <w:szCs w:val="22"/>
          <w:lang w:val="sr-Latn-BA"/>
        </w:rPr>
        <w:t>у</w:t>
      </w:r>
      <w:r w:rsidR="00EA0D83" w:rsidRPr="00CF673E">
        <w:rPr>
          <w:rFonts w:eastAsia="Calibri"/>
          <w:noProof/>
          <w:sz w:val="22"/>
          <w:szCs w:val="22"/>
          <w:lang w:val="sr-Latn-BA"/>
        </w:rPr>
        <w:t xml:space="preserve"> </w:t>
      </w:r>
      <w:r w:rsidRPr="00CF673E">
        <w:rPr>
          <w:rFonts w:eastAsia="Calibri"/>
          <w:noProof/>
          <w:sz w:val="22"/>
          <w:szCs w:val="22"/>
          <w:lang w:val="sr-Latn-BA"/>
        </w:rPr>
        <w:t>дијелу</w:t>
      </w:r>
      <w:r w:rsidR="00EA0D83" w:rsidRPr="00CF673E">
        <w:rPr>
          <w:rFonts w:eastAsia="Calibri"/>
          <w:noProof/>
          <w:sz w:val="22"/>
          <w:szCs w:val="22"/>
          <w:lang w:val="sr-Latn-BA"/>
        </w:rPr>
        <w:t xml:space="preserve"> </w:t>
      </w:r>
      <w:r w:rsidRPr="00CF673E">
        <w:rPr>
          <w:rFonts w:eastAsia="Calibri"/>
          <w:noProof/>
          <w:sz w:val="22"/>
          <w:szCs w:val="22"/>
          <w:lang w:val="sr-Latn-BA"/>
        </w:rPr>
        <w:t>под</w:t>
      </w:r>
      <w:r w:rsidR="00EA0D83" w:rsidRPr="00CF673E">
        <w:rPr>
          <w:rFonts w:eastAsia="Calibri"/>
          <w:noProof/>
          <w:sz w:val="22"/>
          <w:szCs w:val="22"/>
          <w:lang w:val="sr-Latn-BA"/>
        </w:rPr>
        <w:t xml:space="preserve"> </w:t>
      </w:r>
      <w:r w:rsidRPr="00CF673E">
        <w:rPr>
          <w:rFonts w:eastAsia="Calibri"/>
          <w:noProof/>
          <w:sz w:val="22"/>
          <w:szCs w:val="22"/>
          <w:lang w:val="sr-Latn-BA"/>
        </w:rPr>
        <w:t>називом</w:t>
      </w:r>
      <w:r w:rsidR="00EA0D83" w:rsidRPr="00CF673E">
        <w:rPr>
          <w:rFonts w:eastAsia="Calibri"/>
          <w:noProof/>
          <w:sz w:val="22"/>
          <w:szCs w:val="22"/>
          <w:lang w:val="sr-Latn-BA"/>
        </w:rPr>
        <w:t xml:space="preserve"> ''</w:t>
      </w:r>
      <w:r w:rsidRPr="00CF673E">
        <w:rPr>
          <w:rFonts w:eastAsia="Calibri"/>
          <w:noProof/>
          <w:sz w:val="22"/>
          <w:szCs w:val="22"/>
          <w:lang w:val="sr-Latn-BA"/>
        </w:rPr>
        <w:t>Прописи</w:t>
      </w:r>
      <w:r w:rsidR="00EA0D83" w:rsidRPr="00CF673E">
        <w:rPr>
          <w:rFonts w:eastAsia="Calibri"/>
          <w:noProof/>
          <w:sz w:val="22"/>
          <w:szCs w:val="22"/>
          <w:lang w:val="sr-Latn-BA"/>
        </w:rPr>
        <w:t>''.</w:t>
      </w:r>
      <w:bookmarkStart w:id="0" w:name="_GoBack"/>
      <w:bookmarkEnd w:id="0"/>
    </w:p>
    <w:p w:rsidR="00DD5544" w:rsidRPr="002350A3" w:rsidRDefault="00DD5544" w:rsidP="00CE4F88">
      <w:pPr>
        <w:pStyle w:val="NoSpacing"/>
        <w:rPr>
          <w:noProof/>
          <w:sz w:val="22"/>
          <w:szCs w:val="22"/>
          <w:lang w:val="sr-Latn-BA"/>
        </w:rPr>
      </w:pPr>
    </w:p>
    <w:p w:rsidR="002E198D" w:rsidRPr="002350A3" w:rsidRDefault="002E198D" w:rsidP="002E198D">
      <w:pPr>
        <w:jc w:val="both"/>
        <w:rPr>
          <w:bCs/>
          <w:noProof/>
          <w:sz w:val="22"/>
          <w:szCs w:val="22"/>
          <w:lang w:val="sr-Latn-BA"/>
        </w:rPr>
      </w:pPr>
    </w:p>
    <w:p w:rsidR="002350A3" w:rsidRPr="002350A3" w:rsidRDefault="002350A3" w:rsidP="002E198D">
      <w:pPr>
        <w:jc w:val="both"/>
        <w:rPr>
          <w:bCs/>
          <w:noProof/>
          <w:sz w:val="22"/>
          <w:szCs w:val="22"/>
          <w:lang w:val="sr-Latn-BA"/>
        </w:rPr>
      </w:pPr>
    </w:p>
    <w:p w:rsidR="002350A3" w:rsidRPr="002350A3" w:rsidRDefault="002350A3" w:rsidP="002E198D">
      <w:pPr>
        <w:jc w:val="both"/>
        <w:rPr>
          <w:bCs/>
          <w:noProof/>
          <w:sz w:val="22"/>
          <w:szCs w:val="22"/>
          <w:lang w:val="sr-Latn-BA"/>
        </w:rPr>
      </w:pPr>
    </w:p>
    <w:p w:rsidR="002E198D" w:rsidRPr="002350A3" w:rsidRDefault="002E198D" w:rsidP="002E198D">
      <w:pPr>
        <w:rPr>
          <w:rFonts w:eastAsia="Calibri"/>
          <w:b/>
          <w:noProof/>
          <w:sz w:val="22"/>
          <w:szCs w:val="22"/>
          <w:lang w:val="sr-Latn-BA"/>
        </w:rPr>
      </w:pPr>
      <w:r w:rsidRPr="002350A3">
        <w:rPr>
          <w:rFonts w:eastAsia="Calibri"/>
          <w:b/>
          <w:noProof/>
          <w:sz w:val="22"/>
          <w:szCs w:val="22"/>
          <w:lang w:val="sr-Latn-BA"/>
        </w:rPr>
        <w:t xml:space="preserve">                                                                                                                           Д И Р Е К Т О Р</w:t>
      </w:r>
    </w:p>
    <w:p w:rsidR="002E198D" w:rsidRPr="00CF673E" w:rsidRDefault="002E198D" w:rsidP="002E198D">
      <w:pPr>
        <w:rPr>
          <w:rFonts w:eastAsia="Calibri"/>
          <w:noProof/>
          <w:sz w:val="22"/>
          <w:szCs w:val="22"/>
          <w:lang w:val="sr-Latn-BA"/>
        </w:rPr>
      </w:pPr>
    </w:p>
    <w:p w:rsidR="002E198D" w:rsidRPr="00CF673E" w:rsidRDefault="002E198D" w:rsidP="002E198D">
      <w:pPr>
        <w:rPr>
          <w:rFonts w:eastAsia="Calibri"/>
          <w:noProof/>
          <w:sz w:val="22"/>
          <w:szCs w:val="22"/>
          <w:lang w:val="sr-Latn-BA"/>
        </w:rPr>
      </w:pPr>
      <w:r w:rsidRPr="00CF673E">
        <w:rPr>
          <w:rFonts w:eastAsia="Calibri"/>
          <w:noProof/>
          <w:sz w:val="22"/>
          <w:szCs w:val="22"/>
          <w:lang w:val="sr-Latn-BA"/>
        </w:rPr>
        <w:t>Број: 01-02-2- ______</w:t>
      </w:r>
      <w:r w:rsidR="004F4B7E" w:rsidRPr="00CF673E">
        <w:rPr>
          <w:rFonts w:eastAsia="Calibri"/>
          <w:noProof/>
          <w:sz w:val="22"/>
          <w:szCs w:val="22"/>
          <w:lang w:val="sr-Cyrl-BA"/>
        </w:rPr>
        <w:t>__</w:t>
      </w:r>
      <w:r w:rsidRPr="00CF673E">
        <w:rPr>
          <w:rFonts w:eastAsia="Calibri"/>
          <w:noProof/>
          <w:sz w:val="22"/>
          <w:szCs w:val="22"/>
          <w:lang w:val="sr-Latn-BA"/>
        </w:rPr>
        <w:t>____ /23</w:t>
      </w:r>
    </w:p>
    <w:p w:rsidR="002750A9" w:rsidRPr="00CF673E" w:rsidRDefault="002E198D" w:rsidP="002E198D">
      <w:pPr>
        <w:rPr>
          <w:rFonts w:eastAsia="Calibri"/>
          <w:b/>
          <w:noProof/>
          <w:sz w:val="22"/>
          <w:szCs w:val="22"/>
          <w:lang w:val="sr-Latn-BA"/>
        </w:rPr>
      </w:pPr>
      <w:r w:rsidRPr="00CF673E">
        <w:rPr>
          <w:rFonts w:eastAsia="Calibri"/>
          <w:noProof/>
          <w:sz w:val="22"/>
          <w:szCs w:val="22"/>
          <w:lang w:val="sr-Latn-BA"/>
        </w:rPr>
        <w:t xml:space="preserve">Бања Лука, ______ 2023. године                                                                </w:t>
      </w:r>
      <w:r w:rsidRPr="00CF673E">
        <w:rPr>
          <w:rFonts w:eastAsia="Calibri"/>
          <w:b/>
          <w:noProof/>
          <w:sz w:val="22"/>
          <w:szCs w:val="22"/>
          <w:lang w:val="sr-Latn-BA"/>
        </w:rPr>
        <w:t>Др МИРО ЏАКУЛА</w:t>
      </w:r>
    </w:p>
    <w:p w:rsidR="002B48EC" w:rsidRPr="00CF673E" w:rsidRDefault="002B48EC" w:rsidP="00204AF6">
      <w:pPr>
        <w:pStyle w:val="NoSpacing"/>
        <w:rPr>
          <w:noProof/>
          <w:color w:val="0070C0"/>
          <w:sz w:val="22"/>
          <w:szCs w:val="22"/>
          <w:lang w:val="sr-Latn-BA"/>
        </w:rPr>
      </w:pPr>
    </w:p>
    <w:sectPr w:rsidR="002B48EC" w:rsidRPr="00CF673E" w:rsidSect="0026650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219"/>
    <w:multiLevelType w:val="hybridMultilevel"/>
    <w:tmpl w:val="FB1276A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154"/>
    <w:multiLevelType w:val="hybridMultilevel"/>
    <w:tmpl w:val="6660E9CE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7B"/>
    <w:multiLevelType w:val="hybridMultilevel"/>
    <w:tmpl w:val="D158B0C6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4332"/>
    <w:multiLevelType w:val="hybridMultilevel"/>
    <w:tmpl w:val="253858F4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0DFB"/>
    <w:multiLevelType w:val="hybridMultilevel"/>
    <w:tmpl w:val="2CA4E7D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22F1"/>
    <w:multiLevelType w:val="hybridMultilevel"/>
    <w:tmpl w:val="461E82DE"/>
    <w:lvl w:ilvl="0" w:tplc="09AC7C30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  <w:i w:val="0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422E"/>
    <w:multiLevelType w:val="hybridMultilevel"/>
    <w:tmpl w:val="43AEF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EE9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52F76"/>
    <w:multiLevelType w:val="hybridMultilevel"/>
    <w:tmpl w:val="E9BC7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446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A727F"/>
    <w:multiLevelType w:val="hybridMultilevel"/>
    <w:tmpl w:val="8D20A8E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2D5"/>
    <w:multiLevelType w:val="hybridMultilevel"/>
    <w:tmpl w:val="4EEE823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77BE"/>
    <w:multiLevelType w:val="hybridMultilevel"/>
    <w:tmpl w:val="7BBC5FE2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0D39"/>
    <w:multiLevelType w:val="hybridMultilevel"/>
    <w:tmpl w:val="D09680C0"/>
    <w:lvl w:ilvl="0" w:tplc="8D4663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04FF0"/>
    <w:multiLevelType w:val="hybridMultilevel"/>
    <w:tmpl w:val="B6D23110"/>
    <w:lvl w:ilvl="0" w:tplc="7F5080F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705E3"/>
    <w:multiLevelType w:val="hybridMultilevel"/>
    <w:tmpl w:val="25688B4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4521"/>
    <w:multiLevelType w:val="hybridMultilevel"/>
    <w:tmpl w:val="8D880D88"/>
    <w:lvl w:ilvl="0" w:tplc="9020BF9A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  <w:i w:val="0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65E51"/>
    <w:multiLevelType w:val="hybridMultilevel"/>
    <w:tmpl w:val="46F6A3C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56B2"/>
    <w:multiLevelType w:val="hybridMultilevel"/>
    <w:tmpl w:val="47DAEC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0CF5"/>
    <w:multiLevelType w:val="hybridMultilevel"/>
    <w:tmpl w:val="9A02DB2C"/>
    <w:lvl w:ilvl="0" w:tplc="ADA2AD3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3AB8"/>
    <w:multiLevelType w:val="hybridMultilevel"/>
    <w:tmpl w:val="AA38A300"/>
    <w:lvl w:ilvl="0" w:tplc="C8B09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5022E"/>
    <w:multiLevelType w:val="hybridMultilevel"/>
    <w:tmpl w:val="BAD86802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45B6B"/>
    <w:multiLevelType w:val="hybridMultilevel"/>
    <w:tmpl w:val="379820E8"/>
    <w:lvl w:ilvl="0" w:tplc="E5F45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B6796"/>
    <w:multiLevelType w:val="hybridMultilevel"/>
    <w:tmpl w:val="BC7ED382"/>
    <w:lvl w:ilvl="0" w:tplc="9BDC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AB8ED5B8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680032"/>
    <w:multiLevelType w:val="hybridMultilevel"/>
    <w:tmpl w:val="4FB411CC"/>
    <w:lvl w:ilvl="0" w:tplc="EC60CD8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15BF4"/>
    <w:multiLevelType w:val="hybridMultilevel"/>
    <w:tmpl w:val="DC820DC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F682C"/>
    <w:multiLevelType w:val="hybridMultilevel"/>
    <w:tmpl w:val="7BBC5FE2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F596F"/>
    <w:multiLevelType w:val="hybridMultilevel"/>
    <w:tmpl w:val="97F63FBE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4694F"/>
    <w:multiLevelType w:val="hybridMultilevel"/>
    <w:tmpl w:val="2D94D50C"/>
    <w:lvl w:ilvl="0" w:tplc="A91037E4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65CD4"/>
    <w:multiLevelType w:val="hybridMultilevel"/>
    <w:tmpl w:val="EE909BF0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822AB"/>
    <w:multiLevelType w:val="hybridMultilevel"/>
    <w:tmpl w:val="6422ED1C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E8E"/>
    <w:multiLevelType w:val="hybridMultilevel"/>
    <w:tmpl w:val="110EB07A"/>
    <w:lvl w:ilvl="0" w:tplc="AC4672BC">
      <w:numFmt w:val="bullet"/>
      <w:lvlText w:val="-"/>
      <w:lvlJc w:val="left"/>
      <w:pPr>
        <w:tabs>
          <w:tab w:val="num" w:pos="945"/>
        </w:tabs>
        <w:ind w:left="94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2F55615"/>
    <w:multiLevelType w:val="hybridMultilevel"/>
    <w:tmpl w:val="1C92693A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E17BB"/>
    <w:multiLevelType w:val="hybridMultilevel"/>
    <w:tmpl w:val="CF1A97FE"/>
    <w:lvl w:ilvl="0" w:tplc="64E40292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  <w:i w:val="0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C6219"/>
    <w:multiLevelType w:val="hybridMultilevel"/>
    <w:tmpl w:val="53207DC4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265E5"/>
    <w:multiLevelType w:val="hybridMultilevel"/>
    <w:tmpl w:val="EEA25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067F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73C65"/>
    <w:multiLevelType w:val="hybridMultilevel"/>
    <w:tmpl w:val="844011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D659B"/>
    <w:multiLevelType w:val="hybridMultilevel"/>
    <w:tmpl w:val="B2760B72"/>
    <w:lvl w:ilvl="0" w:tplc="B2CCEA8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3C53"/>
    <w:multiLevelType w:val="hybridMultilevel"/>
    <w:tmpl w:val="9934D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EF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32533A"/>
    <w:multiLevelType w:val="hybridMultilevel"/>
    <w:tmpl w:val="442A6BE2"/>
    <w:lvl w:ilvl="0" w:tplc="081A000F">
      <w:start w:val="1"/>
      <w:numFmt w:val="decimal"/>
      <w:lvlText w:val="%1."/>
      <w:lvlJc w:val="left"/>
      <w:pPr>
        <w:ind w:left="1140" w:hanging="360"/>
      </w:pPr>
    </w:lvl>
    <w:lvl w:ilvl="1" w:tplc="081A0019" w:tentative="1">
      <w:start w:val="1"/>
      <w:numFmt w:val="lowerLetter"/>
      <w:lvlText w:val="%2."/>
      <w:lvlJc w:val="left"/>
      <w:pPr>
        <w:ind w:left="1860" w:hanging="360"/>
      </w:pPr>
    </w:lvl>
    <w:lvl w:ilvl="2" w:tplc="081A001B" w:tentative="1">
      <w:start w:val="1"/>
      <w:numFmt w:val="lowerRoman"/>
      <w:lvlText w:val="%3."/>
      <w:lvlJc w:val="right"/>
      <w:pPr>
        <w:ind w:left="2580" w:hanging="180"/>
      </w:pPr>
    </w:lvl>
    <w:lvl w:ilvl="3" w:tplc="081A000F" w:tentative="1">
      <w:start w:val="1"/>
      <w:numFmt w:val="decimal"/>
      <w:lvlText w:val="%4."/>
      <w:lvlJc w:val="left"/>
      <w:pPr>
        <w:ind w:left="3300" w:hanging="360"/>
      </w:pPr>
    </w:lvl>
    <w:lvl w:ilvl="4" w:tplc="081A0019" w:tentative="1">
      <w:start w:val="1"/>
      <w:numFmt w:val="lowerLetter"/>
      <w:lvlText w:val="%5."/>
      <w:lvlJc w:val="left"/>
      <w:pPr>
        <w:ind w:left="4020" w:hanging="360"/>
      </w:pPr>
    </w:lvl>
    <w:lvl w:ilvl="5" w:tplc="081A001B" w:tentative="1">
      <w:start w:val="1"/>
      <w:numFmt w:val="lowerRoman"/>
      <w:lvlText w:val="%6."/>
      <w:lvlJc w:val="right"/>
      <w:pPr>
        <w:ind w:left="4740" w:hanging="180"/>
      </w:pPr>
    </w:lvl>
    <w:lvl w:ilvl="6" w:tplc="081A000F" w:tentative="1">
      <w:start w:val="1"/>
      <w:numFmt w:val="decimal"/>
      <w:lvlText w:val="%7."/>
      <w:lvlJc w:val="left"/>
      <w:pPr>
        <w:ind w:left="5460" w:hanging="360"/>
      </w:pPr>
    </w:lvl>
    <w:lvl w:ilvl="7" w:tplc="081A0019" w:tentative="1">
      <w:start w:val="1"/>
      <w:numFmt w:val="lowerLetter"/>
      <w:lvlText w:val="%8."/>
      <w:lvlJc w:val="left"/>
      <w:pPr>
        <w:ind w:left="6180" w:hanging="360"/>
      </w:pPr>
    </w:lvl>
    <w:lvl w:ilvl="8" w:tplc="08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B351D8F"/>
    <w:multiLevelType w:val="hybridMultilevel"/>
    <w:tmpl w:val="4FB8D7FE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452BC"/>
    <w:multiLevelType w:val="hybridMultilevel"/>
    <w:tmpl w:val="848C63AE"/>
    <w:lvl w:ilvl="0" w:tplc="421CB3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47FC2"/>
    <w:multiLevelType w:val="hybridMultilevel"/>
    <w:tmpl w:val="02A253CA"/>
    <w:lvl w:ilvl="0" w:tplc="69BCC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4195A"/>
    <w:multiLevelType w:val="hybridMultilevel"/>
    <w:tmpl w:val="F64EBDD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2"/>
  </w:num>
  <w:num w:numId="4">
    <w:abstractNumId w:val="21"/>
  </w:num>
  <w:num w:numId="5">
    <w:abstractNumId w:val="33"/>
  </w:num>
  <w:num w:numId="6">
    <w:abstractNumId w:val="7"/>
  </w:num>
  <w:num w:numId="7">
    <w:abstractNumId w:val="6"/>
  </w:num>
  <w:num w:numId="8">
    <w:abstractNumId w:val="11"/>
  </w:num>
  <w:num w:numId="9">
    <w:abstractNumId w:val="41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0"/>
  </w:num>
  <w:num w:numId="13">
    <w:abstractNumId w:val="3"/>
  </w:num>
  <w:num w:numId="14">
    <w:abstractNumId w:val="30"/>
  </w:num>
  <w:num w:numId="15">
    <w:abstractNumId w:val="9"/>
  </w:num>
  <w:num w:numId="16">
    <w:abstractNumId w:val="1"/>
  </w:num>
  <w:num w:numId="17">
    <w:abstractNumId w:val="39"/>
  </w:num>
  <w:num w:numId="18">
    <w:abstractNumId w:val="26"/>
  </w:num>
  <w:num w:numId="19">
    <w:abstractNumId w:val="25"/>
  </w:num>
  <w:num w:numId="20">
    <w:abstractNumId w:val="0"/>
  </w:num>
  <w:num w:numId="21">
    <w:abstractNumId w:val="23"/>
  </w:num>
  <w:num w:numId="22">
    <w:abstractNumId w:val="24"/>
  </w:num>
  <w:num w:numId="23">
    <w:abstractNumId w:val="4"/>
  </w:num>
  <w:num w:numId="24">
    <w:abstractNumId w:val="28"/>
  </w:num>
  <w:num w:numId="25">
    <w:abstractNumId w:val="19"/>
  </w:num>
  <w:num w:numId="26">
    <w:abstractNumId w:val="10"/>
  </w:num>
  <w:num w:numId="27">
    <w:abstractNumId w:val="12"/>
  </w:num>
  <w:num w:numId="28">
    <w:abstractNumId w:val="8"/>
  </w:num>
  <w:num w:numId="29">
    <w:abstractNumId w:val="15"/>
  </w:num>
  <w:num w:numId="30">
    <w:abstractNumId w:val="27"/>
  </w:num>
  <w:num w:numId="31">
    <w:abstractNumId w:val="16"/>
  </w:num>
  <w:num w:numId="32">
    <w:abstractNumId w:val="2"/>
  </w:num>
  <w:num w:numId="33">
    <w:abstractNumId w:val="13"/>
  </w:num>
  <w:num w:numId="34">
    <w:abstractNumId w:val="32"/>
  </w:num>
  <w:num w:numId="35">
    <w:abstractNumId w:val="37"/>
  </w:num>
  <w:num w:numId="36">
    <w:abstractNumId w:val="17"/>
  </w:num>
  <w:num w:numId="37">
    <w:abstractNumId w:val="14"/>
  </w:num>
  <w:num w:numId="38">
    <w:abstractNumId w:val="31"/>
  </w:num>
  <w:num w:numId="39">
    <w:abstractNumId w:val="5"/>
  </w:num>
  <w:num w:numId="40">
    <w:abstractNumId w:val="38"/>
  </w:num>
  <w:num w:numId="41">
    <w:abstractNumId w:val="3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4"/>
    <w:rsid w:val="00001EDF"/>
    <w:rsid w:val="00011CBC"/>
    <w:rsid w:val="00017E2D"/>
    <w:rsid w:val="00035EFE"/>
    <w:rsid w:val="000365F9"/>
    <w:rsid w:val="00046D89"/>
    <w:rsid w:val="000567C0"/>
    <w:rsid w:val="000608E9"/>
    <w:rsid w:val="00061B7A"/>
    <w:rsid w:val="00086639"/>
    <w:rsid w:val="000872A6"/>
    <w:rsid w:val="000A0C3E"/>
    <w:rsid w:val="000A5E34"/>
    <w:rsid w:val="000A6684"/>
    <w:rsid w:val="000B0337"/>
    <w:rsid w:val="000B0C11"/>
    <w:rsid w:val="000C5A48"/>
    <w:rsid w:val="000D6EFB"/>
    <w:rsid w:val="000F10E8"/>
    <w:rsid w:val="00105834"/>
    <w:rsid w:val="00110772"/>
    <w:rsid w:val="0011387B"/>
    <w:rsid w:val="00130B88"/>
    <w:rsid w:val="00135D97"/>
    <w:rsid w:val="00147DA2"/>
    <w:rsid w:val="0015587B"/>
    <w:rsid w:val="00162C7C"/>
    <w:rsid w:val="001665F9"/>
    <w:rsid w:val="00175FBC"/>
    <w:rsid w:val="001845EE"/>
    <w:rsid w:val="001936B1"/>
    <w:rsid w:val="001C5DAB"/>
    <w:rsid w:val="001D01F2"/>
    <w:rsid w:val="001E0E3E"/>
    <w:rsid w:val="001E25CD"/>
    <w:rsid w:val="001F0C3B"/>
    <w:rsid w:val="001F1FB5"/>
    <w:rsid w:val="001F47EF"/>
    <w:rsid w:val="00204AF6"/>
    <w:rsid w:val="00223568"/>
    <w:rsid w:val="00233C5B"/>
    <w:rsid w:val="002350A3"/>
    <w:rsid w:val="00265368"/>
    <w:rsid w:val="0026553A"/>
    <w:rsid w:val="0026650C"/>
    <w:rsid w:val="0027097B"/>
    <w:rsid w:val="002750A9"/>
    <w:rsid w:val="00282C19"/>
    <w:rsid w:val="002854ED"/>
    <w:rsid w:val="002971E9"/>
    <w:rsid w:val="002A7D8D"/>
    <w:rsid w:val="002B48EC"/>
    <w:rsid w:val="002C2517"/>
    <w:rsid w:val="002C3FC3"/>
    <w:rsid w:val="002D657B"/>
    <w:rsid w:val="002E198D"/>
    <w:rsid w:val="002F4C9D"/>
    <w:rsid w:val="00317830"/>
    <w:rsid w:val="00323F28"/>
    <w:rsid w:val="0033097C"/>
    <w:rsid w:val="0034494C"/>
    <w:rsid w:val="003626B5"/>
    <w:rsid w:val="003820E5"/>
    <w:rsid w:val="003868F1"/>
    <w:rsid w:val="00390AF3"/>
    <w:rsid w:val="003A1C0E"/>
    <w:rsid w:val="003A2AD1"/>
    <w:rsid w:val="003A2D7A"/>
    <w:rsid w:val="003A746F"/>
    <w:rsid w:val="003C7121"/>
    <w:rsid w:val="003D3607"/>
    <w:rsid w:val="003E33EE"/>
    <w:rsid w:val="003E44CA"/>
    <w:rsid w:val="0041168B"/>
    <w:rsid w:val="00427AF0"/>
    <w:rsid w:val="004304D5"/>
    <w:rsid w:val="00436E68"/>
    <w:rsid w:val="00443548"/>
    <w:rsid w:val="00445016"/>
    <w:rsid w:val="0045546F"/>
    <w:rsid w:val="00455AB6"/>
    <w:rsid w:val="0046314C"/>
    <w:rsid w:val="0046591D"/>
    <w:rsid w:val="00465DE1"/>
    <w:rsid w:val="00472C8B"/>
    <w:rsid w:val="00492453"/>
    <w:rsid w:val="004937C8"/>
    <w:rsid w:val="00493AE3"/>
    <w:rsid w:val="004A343C"/>
    <w:rsid w:val="004C2AA2"/>
    <w:rsid w:val="004D0034"/>
    <w:rsid w:val="004D18E9"/>
    <w:rsid w:val="004D1A5E"/>
    <w:rsid w:val="004D329A"/>
    <w:rsid w:val="004D450F"/>
    <w:rsid w:val="004F4087"/>
    <w:rsid w:val="004F4B7E"/>
    <w:rsid w:val="00504AEE"/>
    <w:rsid w:val="00505BD6"/>
    <w:rsid w:val="0053602C"/>
    <w:rsid w:val="005436F6"/>
    <w:rsid w:val="00552F08"/>
    <w:rsid w:val="005558EB"/>
    <w:rsid w:val="0059185D"/>
    <w:rsid w:val="0059724E"/>
    <w:rsid w:val="005A4723"/>
    <w:rsid w:val="005A7DBB"/>
    <w:rsid w:val="005B1671"/>
    <w:rsid w:val="005B7F7C"/>
    <w:rsid w:val="005C374A"/>
    <w:rsid w:val="005C6694"/>
    <w:rsid w:val="005C69E8"/>
    <w:rsid w:val="005D57BD"/>
    <w:rsid w:val="005E47F9"/>
    <w:rsid w:val="005F3BB7"/>
    <w:rsid w:val="005F7857"/>
    <w:rsid w:val="005F79F6"/>
    <w:rsid w:val="0060239C"/>
    <w:rsid w:val="006031B3"/>
    <w:rsid w:val="00605E21"/>
    <w:rsid w:val="00607B3F"/>
    <w:rsid w:val="00624B9D"/>
    <w:rsid w:val="00631AA9"/>
    <w:rsid w:val="006343F8"/>
    <w:rsid w:val="006344DF"/>
    <w:rsid w:val="00642357"/>
    <w:rsid w:val="006473BF"/>
    <w:rsid w:val="00652645"/>
    <w:rsid w:val="006546BA"/>
    <w:rsid w:val="0066046D"/>
    <w:rsid w:val="00663C71"/>
    <w:rsid w:val="00671632"/>
    <w:rsid w:val="00673975"/>
    <w:rsid w:val="006810FB"/>
    <w:rsid w:val="0068237E"/>
    <w:rsid w:val="0068324B"/>
    <w:rsid w:val="00697B21"/>
    <w:rsid w:val="006A27B6"/>
    <w:rsid w:val="006A2DA4"/>
    <w:rsid w:val="006C3B95"/>
    <w:rsid w:val="006C5649"/>
    <w:rsid w:val="006D20B1"/>
    <w:rsid w:val="006E6287"/>
    <w:rsid w:val="006E6DB3"/>
    <w:rsid w:val="007039E9"/>
    <w:rsid w:val="007049DF"/>
    <w:rsid w:val="00714607"/>
    <w:rsid w:val="00715B8B"/>
    <w:rsid w:val="00715C52"/>
    <w:rsid w:val="00720F3A"/>
    <w:rsid w:val="00730760"/>
    <w:rsid w:val="00730C23"/>
    <w:rsid w:val="0073583E"/>
    <w:rsid w:val="007520CE"/>
    <w:rsid w:val="0077384D"/>
    <w:rsid w:val="00790242"/>
    <w:rsid w:val="007A0CAB"/>
    <w:rsid w:val="007A18A1"/>
    <w:rsid w:val="007A4D03"/>
    <w:rsid w:val="007B4504"/>
    <w:rsid w:val="007B5C1F"/>
    <w:rsid w:val="007B739E"/>
    <w:rsid w:val="007C0458"/>
    <w:rsid w:val="007C4F87"/>
    <w:rsid w:val="007D2038"/>
    <w:rsid w:val="007D53A6"/>
    <w:rsid w:val="007D5988"/>
    <w:rsid w:val="007F2CFE"/>
    <w:rsid w:val="00820B02"/>
    <w:rsid w:val="00821BE8"/>
    <w:rsid w:val="00824EA3"/>
    <w:rsid w:val="0082703F"/>
    <w:rsid w:val="00830B9A"/>
    <w:rsid w:val="00835D31"/>
    <w:rsid w:val="00837DAE"/>
    <w:rsid w:val="00844E73"/>
    <w:rsid w:val="0085418B"/>
    <w:rsid w:val="0086492A"/>
    <w:rsid w:val="00865D68"/>
    <w:rsid w:val="00873DE9"/>
    <w:rsid w:val="00886EC2"/>
    <w:rsid w:val="008A3D95"/>
    <w:rsid w:val="008C3A80"/>
    <w:rsid w:val="008C7A30"/>
    <w:rsid w:val="008E4168"/>
    <w:rsid w:val="008E4280"/>
    <w:rsid w:val="008E600C"/>
    <w:rsid w:val="00902254"/>
    <w:rsid w:val="0091381D"/>
    <w:rsid w:val="00930D76"/>
    <w:rsid w:val="00950528"/>
    <w:rsid w:val="00974535"/>
    <w:rsid w:val="00975DED"/>
    <w:rsid w:val="009A28AD"/>
    <w:rsid w:val="009B1832"/>
    <w:rsid w:val="009B647E"/>
    <w:rsid w:val="009C12B7"/>
    <w:rsid w:val="009C2746"/>
    <w:rsid w:val="009C3321"/>
    <w:rsid w:val="009C5C3D"/>
    <w:rsid w:val="009E5042"/>
    <w:rsid w:val="009E57FB"/>
    <w:rsid w:val="009F1577"/>
    <w:rsid w:val="00A209FA"/>
    <w:rsid w:val="00A3021A"/>
    <w:rsid w:val="00A41575"/>
    <w:rsid w:val="00A513B4"/>
    <w:rsid w:val="00A543FB"/>
    <w:rsid w:val="00A616CA"/>
    <w:rsid w:val="00A63EC5"/>
    <w:rsid w:val="00A918F3"/>
    <w:rsid w:val="00A919B9"/>
    <w:rsid w:val="00A95B36"/>
    <w:rsid w:val="00A97A22"/>
    <w:rsid w:val="00AA711F"/>
    <w:rsid w:val="00AB35D5"/>
    <w:rsid w:val="00AC2E44"/>
    <w:rsid w:val="00AD0C9F"/>
    <w:rsid w:val="00AD70D2"/>
    <w:rsid w:val="00AE0D5D"/>
    <w:rsid w:val="00AE2F93"/>
    <w:rsid w:val="00AE53BF"/>
    <w:rsid w:val="00AF4F01"/>
    <w:rsid w:val="00B02240"/>
    <w:rsid w:val="00B02CC9"/>
    <w:rsid w:val="00B04B65"/>
    <w:rsid w:val="00B2206F"/>
    <w:rsid w:val="00B231EC"/>
    <w:rsid w:val="00B24951"/>
    <w:rsid w:val="00B27405"/>
    <w:rsid w:val="00B374F3"/>
    <w:rsid w:val="00B4014E"/>
    <w:rsid w:val="00B55DC4"/>
    <w:rsid w:val="00B613EC"/>
    <w:rsid w:val="00B67BCA"/>
    <w:rsid w:val="00B80AEF"/>
    <w:rsid w:val="00B82689"/>
    <w:rsid w:val="00B832B2"/>
    <w:rsid w:val="00B8747E"/>
    <w:rsid w:val="00B903ED"/>
    <w:rsid w:val="00B9302F"/>
    <w:rsid w:val="00BA41EB"/>
    <w:rsid w:val="00BB5547"/>
    <w:rsid w:val="00BC774C"/>
    <w:rsid w:val="00BE17F7"/>
    <w:rsid w:val="00BE1C0B"/>
    <w:rsid w:val="00BE262F"/>
    <w:rsid w:val="00BE7F73"/>
    <w:rsid w:val="00BF5017"/>
    <w:rsid w:val="00C06C82"/>
    <w:rsid w:val="00C06F6A"/>
    <w:rsid w:val="00C11E9E"/>
    <w:rsid w:val="00C124F1"/>
    <w:rsid w:val="00C13484"/>
    <w:rsid w:val="00C23C11"/>
    <w:rsid w:val="00C32429"/>
    <w:rsid w:val="00C4285B"/>
    <w:rsid w:val="00C5100C"/>
    <w:rsid w:val="00C60494"/>
    <w:rsid w:val="00C61B70"/>
    <w:rsid w:val="00C6677E"/>
    <w:rsid w:val="00C72FEE"/>
    <w:rsid w:val="00C87229"/>
    <w:rsid w:val="00C936AB"/>
    <w:rsid w:val="00C943ED"/>
    <w:rsid w:val="00C94969"/>
    <w:rsid w:val="00C95599"/>
    <w:rsid w:val="00C96BE8"/>
    <w:rsid w:val="00CA5244"/>
    <w:rsid w:val="00CC0EDB"/>
    <w:rsid w:val="00CD1344"/>
    <w:rsid w:val="00CD25D2"/>
    <w:rsid w:val="00CD4C08"/>
    <w:rsid w:val="00CD6898"/>
    <w:rsid w:val="00CE4F88"/>
    <w:rsid w:val="00CF673E"/>
    <w:rsid w:val="00D00C85"/>
    <w:rsid w:val="00D025D3"/>
    <w:rsid w:val="00D1111C"/>
    <w:rsid w:val="00D11A0A"/>
    <w:rsid w:val="00D14889"/>
    <w:rsid w:val="00D42342"/>
    <w:rsid w:val="00D46D0B"/>
    <w:rsid w:val="00D5444B"/>
    <w:rsid w:val="00D62477"/>
    <w:rsid w:val="00D62628"/>
    <w:rsid w:val="00D73C1A"/>
    <w:rsid w:val="00D75885"/>
    <w:rsid w:val="00D76C9C"/>
    <w:rsid w:val="00D77F59"/>
    <w:rsid w:val="00D842CA"/>
    <w:rsid w:val="00D92CA9"/>
    <w:rsid w:val="00D93601"/>
    <w:rsid w:val="00D939C2"/>
    <w:rsid w:val="00DB4C8B"/>
    <w:rsid w:val="00DB5A44"/>
    <w:rsid w:val="00DD0883"/>
    <w:rsid w:val="00DD44FA"/>
    <w:rsid w:val="00DD5544"/>
    <w:rsid w:val="00DE06EF"/>
    <w:rsid w:val="00DE1C84"/>
    <w:rsid w:val="00DF4D74"/>
    <w:rsid w:val="00E1397E"/>
    <w:rsid w:val="00E14597"/>
    <w:rsid w:val="00E17AA5"/>
    <w:rsid w:val="00E3005B"/>
    <w:rsid w:val="00E371BE"/>
    <w:rsid w:val="00E42843"/>
    <w:rsid w:val="00E43066"/>
    <w:rsid w:val="00E439C9"/>
    <w:rsid w:val="00E72970"/>
    <w:rsid w:val="00E827D6"/>
    <w:rsid w:val="00E83523"/>
    <w:rsid w:val="00EA0D83"/>
    <w:rsid w:val="00EB765A"/>
    <w:rsid w:val="00ED5CFD"/>
    <w:rsid w:val="00ED63EF"/>
    <w:rsid w:val="00EE0298"/>
    <w:rsid w:val="00EF17C8"/>
    <w:rsid w:val="00EF4E23"/>
    <w:rsid w:val="00F00BAA"/>
    <w:rsid w:val="00F152EA"/>
    <w:rsid w:val="00F27C80"/>
    <w:rsid w:val="00F32CE3"/>
    <w:rsid w:val="00F35C92"/>
    <w:rsid w:val="00F36507"/>
    <w:rsid w:val="00F47F2F"/>
    <w:rsid w:val="00F513F4"/>
    <w:rsid w:val="00F6438E"/>
    <w:rsid w:val="00F6784B"/>
    <w:rsid w:val="00F74D59"/>
    <w:rsid w:val="00F80305"/>
    <w:rsid w:val="00FA1D2C"/>
    <w:rsid w:val="00FA7990"/>
    <w:rsid w:val="00FB17DA"/>
    <w:rsid w:val="00FC6B92"/>
    <w:rsid w:val="00FD06F2"/>
    <w:rsid w:val="00FD13A6"/>
    <w:rsid w:val="00FD2DF3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8CF42"/>
  <w15:chartTrackingRefBased/>
  <w15:docId w15:val="{F5EA5A80-4354-4DB5-A7B1-931FBBB3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  <w:lang w:val="sr-Cyrl-CS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both"/>
      <w:outlineLvl w:val="1"/>
    </w:pPr>
    <w:rPr>
      <w:b/>
      <w:bCs/>
      <w:sz w:val="20"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  <w:lang w:val="sr-Cyrl-C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lang w:val="sr-Cyrl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24F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7F2CF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8Char">
    <w:name w:val="Heading 8 Char"/>
    <w:link w:val="Heading8"/>
    <w:semiHidden/>
    <w:rsid w:val="00C124F1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7D5988"/>
    <w:rPr>
      <w:sz w:val="24"/>
      <w:szCs w:val="24"/>
      <w:lang w:eastAsia="en-US"/>
    </w:rPr>
  </w:style>
  <w:style w:type="character" w:styleId="Strong">
    <w:name w:val="Strong"/>
    <w:uiPriority w:val="22"/>
    <w:qFormat/>
    <w:rsid w:val="00EE0298"/>
    <w:rPr>
      <w:b/>
      <w:bCs/>
    </w:rPr>
  </w:style>
  <w:style w:type="character" w:styleId="Hyperlink">
    <w:name w:val="Hyperlink"/>
    <w:rsid w:val="00DD5544"/>
    <w:rPr>
      <w:color w:val="0563C1"/>
      <w:u w:val="single"/>
    </w:rPr>
  </w:style>
  <w:style w:type="character" w:styleId="Emphasis">
    <w:name w:val="Emphasis"/>
    <w:qFormat/>
    <w:rsid w:val="009C5C3D"/>
    <w:rPr>
      <w:i/>
      <w:iCs/>
    </w:rPr>
  </w:style>
  <w:style w:type="paragraph" w:styleId="BalloonText">
    <w:name w:val="Balloon Text"/>
    <w:basedOn w:val="Normal"/>
    <w:link w:val="BalloonTextChar"/>
    <w:rsid w:val="00605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5E2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rsid w:val="00930D76"/>
    <w:pPr>
      <w:tabs>
        <w:tab w:val="center" w:pos="4536"/>
        <w:tab w:val="right" w:pos="9072"/>
      </w:tabs>
    </w:pPr>
    <w:rPr>
      <w:rFonts w:ascii="Tahoma" w:hAnsi="Tahoma"/>
      <w:lang w:val="hr-HR" w:eastAsia="hr-HR"/>
    </w:rPr>
  </w:style>
  <w:style w:type="character" w:customStyle="1" w:styleId="HeaderChar">
    <w:name w:val="Header Char"/>
    <w:link w:val="Header"/>
    <w:rsid w:val="00930D76"/>
    <w:rPr>
      <w:rFonts w:ascii="Tahoma" w:hAnsi="Tahoma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6C3B95"/>
    <w:pPr>
      <w:ind w:left="708"/>
    </w:pPr>
  </w:style>
  <w:style w:type="character" w:customStyle="1" w:styleId="NoSpacingChar">
    <w:name w:val="No Spacing Char"/>
    <w:link w:val="NoSpacing"/>
    <w:uiPriority w:val="1"/>
    <w:rsid w:val="005A472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1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1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6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1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1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1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1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3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1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ino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FF9B-D44A-4B4F-B51A-255F1F8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8400</CharactersWithSpaces>
  <SharedDoc>false</SharedDoc>
  <HLinks>
    <vt:vector size="6" baseType="variant"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http://www.uino.gov.ba/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Miljka Kutić</dc:creator>
  <cp:keywords/>
  <dc:description/>
  <cp:lastModifiedBy>Dragana Vuković</cp:lastModifiedBy>
  <cp:revision>3</cp:revision>
  <cp:lastPrinted>2023-05-17T09:09:00Z</cp:lastPrinted>
  <dcterms:created xsi:type="dcterms:W3CDTF">2023-05-17T12:40:00Z</dcterms:created>
  <dcterms:modified xsi:type="dcterms:W3CDTF">2023-05-17T12:43:00Z</dcterms:modified>
</cp:coreProperties>
</file>